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117" w:rsidRPr="00E93FA8" w:rsidRDefault="005D2117" w:rsidP="00E93FA8">
      <w:pPr>
        <w:pStyle w:val="a3"/>
        <w:spacing w:before="0" w:beforeAutospacing="0" w:after="0" w:afterAutospacing="0"/>
        <w:ind w:firstLine="708"/>
        <w:jc w:val="center"/>
        <w:rPr>
          <w:b/>
          <w:color w:val="000000"/>
          <w:sz w:val="28"/>
          <w:szCs w:val="28"/>
        </w:rPr>
      </w:pPr>
      <w:bookmarkStart w:id="0" w:name="_GoBack"/>
      <w:bookmarkEnd w:id="0"/>
      <w:r w:rsidRPr="00E93FA8">
        <w:rPr>
          <w:b/>
          <w:color w:val="000000"/>
          <w:sz w:val="28"/>
          <w:szCs w:val="28"/>
        </w:rPr>
        <w:t xml:space="preserve">Объектами муниципального контроля </w:t>
      </w:r>
      <w:r w:rsidRPr="00E93FA8">
        <w:rPr>
          <w:b/>
          <w:sz w:val="28"/>
          <w:szCs w:val="28"/>
        </w:rPr>
        <w:t>на автомобильном транспорте, городском наземном электрическом транспорте и в дорожном хозяйстве на территории муниципального образования «</w:t>
      </w:r>
      <w:r w:rsidR="00E93FA8" w:rsidRPr="00E93FA8">
        <w:rPr>
          <w:b/>
          <w:sz w:val="28"/>
          <w:szCs w:val="28"/>
        </w:rPr>
        <w:t>С</w:t>
      </w:r>
      <w:r w:rsidRPr="00E93FA8">
        <w:rPr>
          <w:b/>
          <w:sz w:val="28"/>
          <w:szCs w:val="28"/>
        </w:rPr>
        <w:t>ельское поселени</w:t>
      </w:r>
      <w:r w:rsidR="00E93FA8" w:rsidRPr="00E93FA8">
        <w:rPr>
          <w:b/>
          <w:sz w:val="28"/>
          <w:szCs w:val="28"/>
        </w:rPr>
        <w:t>е Хатанга</w:t>
      </w:r>
      <w:r w:rsidRPr="00E93FA8">
        <w:rPr>
          <w:b/>
          <w:sz w:val="28"/>
          <w:szCs w:val="28"/>
        </w:rPr>
        <w:t>»</w:t>
      </w:r>
      <w:r w:rsidRPr="00E93FA8">
        <w:rPr>
          <w:b/>
          <w:color w:val="000000"/>
          <w:sz w:val="28"/>
          <w:szCs w:val="28"/>
        </w:rPr>
        <w:t xml:space="preserve"> являются:</w:t>
      </w:r>
    </w:p>
    <w:p w:rsidR="005D2117" w:rsidRDefault="005D2117" w:rsidP="005D2117">
      <w:pPr>
        <w:pStyle w:val="a3"/>
        <w:spacing w:before="0" w:beforeAutospacing="0" w:after="0" w:afterAutospacing="0"/>
        <w:ind w:firstLine="708"/>
        <w:jc w:val="both"/>
        <w:rPr>
          <w:color w:val="000000"/>
          <w:sz w:val="28"/>
          <w:szCs w:val="28"/>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680"/>
        <w:gridCol w:w="7253"/>
        <w:gridCol w:w="1560"/>
      </w:tblGrid>
      <w:tr w:rsidR="006249D2" w:rsidRPr="006249D2" w:rsidTr="006249D2">
        <w:tc>
          <w:tcPr>
            <w:tcW w:w="680" w:type="dxa"/>
            <w:tcBorders>
              <w:top w:val="single" w:sz="4" w:space="0" w:color="auto"/>
              <w:left w:val="single" w:sz="4" w:space="0" w:color="auto"/>
              <w:bottom w:val="single" w:sz="4" w:space="0" w:color="auto"/>
              <w:right w:val="single" w:sz="4" w:space="0" w:color="auto"/>
            </w:tcBorders>
          </w:tcPr>
          <w:p w:rsidR="006249D2" w:rsidRPr="006249D2" w:rsidRDefault="006249D2" w:rsidP="00D14BC1">
            <w:pPr>
              <w:autoSpaceDE w:val="0"/>
              <w:autoSpaceDN w:val="0"/>
              <w:adjustRightInd w:val="0"/>
              <w:jc w:val="center"/>
              <w:rPr>
                <w:rFonts w:ascii="Times New Roman" w:hAnsi="Times New Roman" w:cs="Times New Roman"/>
                <w:sz w:val="24"/>
                <w:szCs w:val="24"/>
              </w:rPr>
            </w:pPr>
            <w:r w:rsidRPr="006249D2">
              <w:rPr>
                <w:rFonts w:ascii="Times New Roman" w:hAnsi="Times New Roman" w:cs="Times New Roman"/>
                <w:sz w:val="24"/>
                <w:szCs w:val="24"/>
              </w:rPr>
              <w:t>п/п</w:t>
            </w:r>
          </w:p>
        </w:tc>
        <w:tc>
          <w:tcPr>
            <w:tcW w:w="7253" w:type="dxa"/>
            <w:tcBorders>
              <w:top w:val="single" w:sz="4" w:space="0" w:color="auto"/>
              <w:left w:val="single" w:sz="4" w:space="0" w:color="auto"/>
              <w:bottom w:val="single" w:sz="4" w:space="0" w:color="auto"/>
              <w:right w:val="single" w:sz="4" w:space="0" w:color="auto"/>
            </w:tcBorders>
          </w:tcPr>
          <w:p w:rsidR="006249D2" w:rsidRPr="006249D2" w:rsidRDefault="006249D2" w:rsidP="00D14BC1">
            <w:pPr>
              <w:autoSpaceDE w:val="0"/>
              <w:autoSpaceDN w:val="0"/>
              <w:adjustRightInd w:val="0"/>
              <w:jc w:val="center"/>
              <w:rPr>
                <w:rFonts w:ascii="Times New Roman" w:hAnsi="Times New Roman" w:cs="Times New Roman"/>
                <w:sz w:val="24"/>
                <w:szCs w:val="24"/>
              </w:rPr>
            </w:pPr>
            <w:r w:rsidRPr="006249D2">
              <w:rPr>
                <w:rFonts w:ascii="Times New Roman" w:hAnsi="Times New Roman" w:cs="Times New Roman"/>
                <w:sz w:val="24"/>
                <w:szCs w:val="24"/>
              </w:rPr>
              <w:t>Объекты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«Сельское поселение Хатанга»</w:t>
            </w:r>
          </w:p>
        </w:tc>
        <w:tc>
          <w:tcPr>
            <w:tcW w:w="1560" w:type="dxa"/>
            <w:tcBorders>
              <w:top w:val="single" w:sz="4" w:space="0" w:color="auto"/>
              <w:left w:val="single" w:sz="4" w:space="0" w:color="auto"/>
              <w:bottom w:val="single" w:sz="4" w:space="0" w:color="auto"/>
              <w:right w:val="single" w:sz="4" w:space="0" w:color="auto"/>
            </w:tcBorders>
          </w:tcPr>
          <w:p w:rsidR="006249D2" w:rsidRPr="006249D2" w:rsidRDefault="006249D2" w:rsidP="00D14BC1">
            <w:pPr>
              <w:autoSpaceDE w:val="0"/>
              <w:autoSpaceDN w:val="0"/>
              <w:adjustRightInd w:val="0"/>
              <w:jc w:val="center"/>
              <w:rPr>
                <w:rFonts w:ascii="Times New Roman" w:hAnsi="Times New Roman" w:cs="Times New Roman"/>
                <w:sz w:val="24"/>
                <w:szCs w:val="24"/>
              </w:rPr>
            </w:pPr>
            <w:r w:rsidRPr="006249D2">
              <w:rPr>
                <w:rFonts w:ascii="Times New Roman" w:hAnsi="Times New Roman" w:cs="Times New Roman"/>
                <w:sz w:val="24"/>
                <w:szCs w:val="24"/>
              </w:rPr>
              <w:t>Категория риска</w:t>
            </w:r>
          </w:p>
        </w:tc>
      </w:tr>
      <w:tr w:rsidR="006249D2" w:rsidRPr="006249D2" w:rsidTr="006249D2">
        <w:tc>
          <w:tcPr>
            <w:tcW w:w="680" w:type="dxa"/>
            <w:tcBorders>
              <w:top w:val="single" w:sz="4" w:space="0" w:color="auto"/>
              <w:left w:val="single" w:sz="4" w:space="0" w:color="auto"/>
              <w:bottom w:val="single" w:sz="4" w:space="0" w:color="auto"/>
              <w:right w:val="single" w:sz="4" w:space="0" w:color="auto"/>
            </w:tcBorders>
          </w:tcPr>
          <w:p w:rsidR="006249D2" w:rsidRPr="006249D2" w:rsidRDefault="006249D2" w:rsidP="00D14BC1">
            <w:pPr>
              <w:autoSpaceDE w:val="0"/>
              <w:autoSpaceDN w:val="0"/>
              <w:adjustRightInd w:val="0"/>
              <w:jc w:val="center"/>
              <w:rPr>
                <w:rFonts w:ascii="Times New Roman" w:hAnsi="Times New Roman" w:cs="Times New Roman"/>
                <w:sz w:val="24"/>
                <w:szCs w:val="24"/>
              </w:rPr>
            </w:pPr>
            <w:r w:rsidRPr="006249D2">
              <w:rPr>
                <w:rFonts w:ascii="Times New Roman" w:hAnsi="Times New Roman" w:cs="Times New Roman"/>
                <w:sz w:val="24"/>
                <w:szCs w:val="24"/>
              </w:rPr>
              <w:t>1</w:t>
            </w:r>
          </w:p>
        </w:tc>
        <w:tc>
          <w:tcPr>
            <w:tcW w:w="7253" w:type="dxa"/>
            <w:tcBorders>
              <w:top w:val="single" w:sz="4" w:space="0" w:color="auto"/>
              <w:left w:val="single" w:sz="4" w:space="0" w:color="auto"/>
              <w:bottom w:val="single" w:sz="4" w:space="0" w:color="auto"/>
              <w:right w:val="single" w:sz="4" w:space="0" w:color="auto"/>
            </w:tcBorders>
          </w:tcPr>
          <w:p w:rsidR="006249D2" w:rsidRPr="006249D2" w:rsidRDefault="006249D2" w:rsidP="006249D2">
            <w:pPr>
              <w:autoSpaceDE w:val="0"/>
              <w:autoSpaceDN w:val="0"/>
              <w:adjustRightInd w:val="0"/>
              <w:jc w:val="both"/>
              <w:rPr>
                <w:rFonts w:ascii="Times New Roman" w:hAnsi="Times New Roman" w:cs="Times New Roman"/>
                <w:sz w:val="28"/>
                <w:szCs w:val="28"/>
              </w:rPr>
            </w:pPr>
            <w:r w:rsidRPr="006249D2">
              <w:rPr>
                <w:rFonts w:ascii="Times New Roman" w:hAnsi="Times New Roman" w:cs="Times New Roman"/>
                <w:sz w:val="28"/>
                <w:szCs w:val="2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1560" w:type="dxa"/>
            <w:tcBorders>
              <w:top w:val="single" w:sz="4" w:space="0" w:color="auto"/>
              <w:left w:val="single" w:sz="4" w:space="0" w:color="auto"/>
              <w:bottom w:val="single" w:sz="4" w:space="0" w:color="auto"/>
              <w:right w:val="single" w:sz="4" w:space="0" w:color="auto"/>
            </w:tcBorders>
          </w:tcPr>
          <w:p w:rsidR="006249D2" w:rsidRPr="006249D2" w:rsidRDefault="006249D2" w:rsidP="006249D2">
            <w:pPr>
              <w:autoSpaceDE w:val="0"/>
              <w:autoSpaceDN w:val="0"/>
              <w:adjustRightInd w:val="0"/>
              <w:jc w:val="both"/>
              <w:rPr>
                <w:rFonts w:ascii="Times New Roman" w:hAnsi="Times New Roman" w:cs="Times New Roman"/>
                <w:sz w:val="28"/>
                <w:szCs w:val="28"/>
              </w:rPr>
            </w:pPr>
            <w:r w:rsidRPr="006249D2">
              <w:rPr>
                <w:rFonts w:ascii="Times New Roman" w:hAnsi="Times New Roman" w:cs="Times New Roman"/>
                <w:sz w:val="28"/>
                <w:szCs w:val="28"/>
              </w:rPr>
              <w:t>Значительный риск</w:t>
            </w:r>
          </w:p>
        </w:tc>
      </w:tr>
      <w:tr w:rsidR="006249D2" w:rsidRPr="006249D2" w:rsidTr="006249D2">
        <w:tc>
          <w:tcPr>
            <w:tcW w:w="680" w:type="dxa"/>
            <w:tcBorders>
              <w:top w:val="single" w:sz="4" w:space="0" w:color="auto"/>
              <w:left w:val="single" w:sz="4" w:space="0" w:color="auto"/>
              <w:bottom w:val="single" w:sz="4" w:space="0" w:color="auto"/>
              <w:right w:val="single" w:sz="4" w:space="0" w:color="auto"/>
            </w:tcBorders>
          </w:tcPr>
          <w:p w:rsidR="006249D2" w:rsidRPr="006249D2" w:rsidRDefault="006249D2" w:rsidP="00D14BC1">
            <w:pPr>
              <w:autoSpaceDE w:val="0"/>
              <w:autoSpaceDN w:val="0"/>
              <w:adjustRightInd w:val="0"/>
              <w:rPr>
                <w:rFonts w:ascii="Times New Roman" w:hAnsi="Times New Roman" w:cs="Times New Roman"/>
                <w:sz w:val="24"/>
                <w:szCs w:val="24"/>
              </w:rPr>
            </w:pPr>
            <w:bookmarkStart w:id="1" w:name="Par9"/>
            <w:bookmarkEnd w:id="1"/>
            <w:r w:rsidRPr="006249D2">
              <w:rPr>
                <w:rFonts w:ascii="Times New Roman" w:hAnsi="Times New Roman" w:cs="Times New Roman"/>
                <w:sz w:val="24"/>
                <w:szCs w:val="24"/>
              </w:rPr>
              <w:t>2</w:t>
            </w:r>
          </w:p>
        </w:tc>
        <w:tc>
          <w:tcPr>
            <w:tcW w:w="7253" w:type="dxa"/>
            <w:tcBorders>
              <w:top w:val="single" w:sz="4" w:space="0" w:color="auto"/>
              <w:left w:val="single" w:sz="4" w:space="0" w:color="auto"/>
              <w:bottom w:val="single" w:sz="4" w:space="0" w:color="auto"/>
              <w:right w:val="single" w:sz="4" w:space="0" w:color="auto"/>
            </w:tcBorders>
          </w:tcPr>
          <w:p w:rsidR="006249D2" w:rsidRPr="006249D2" w:rsidRDefault="006249D2" w:rsidP="006249D2">
            <w:pPr>
              <w:autoSpaceDE w:val="0"/>
              <w:autoSpaceDN w:val="0"/>
              <w:adjustRightInd w:val="0"/>
              <w:jc w:val="both"/>
              <w:rPr>
                <w:rFonts w:ascii="Times New Roman" w:hAnsi="Times New Roman" w:cs="Times New Roman"/>
                <w:sz w:val="28"/>
                <w:szCs w:val="28"/>
              </w:rPr>
            </w:pPr>
            <w:r w:rsidRPr="006249D2">
              <w:rPr>
                <w:rFonts w:ascii="Times New Roman" w:hAnsi="Times New Roman" w:cs="Times New Roman"/>
                <w:sz w:val="28"/>
                <w:szCs w:val="28"/>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1560" w:type="dxa"/>
            <w:tcBorders>
              <w:top w:val="single" w:sz="4" w:space="0" w:color="auto"/>
              <w:left w:val="single" w:sz="4" w:space="0" w:color="auto"/>
              <w:bottom w:val="single" w:sz="4" w:space="0" w:color="auto"/>
              <w:right w:val="single" w:sz="4" w:space="0" w:color="auto"/>
            </w:tcBorders>
          </w:tcPr>
          <w:p w:rsidR="006249D2" w:rsidRPr="006249D2" w:rsidRDefault="006249D2" w:rsidP="006249D2">
            <w:pPr>
              <w:autoSpaceDE w:val="0"/>
              <w:autoSpaceDN w:val="0"/>
              <w:adjustRightInd w:val="0"/>
              <w:jc w:val="both"/>
              <w:rPr>
                <w:rFonts w:ascii="Times New Roman" w:hAnsi="Times New Roman" w:cs="Times New Roman"/>
                <w:sz w:val="28"/>
                <w:szCs w:val="28"/>
              </w:rPr>
            </w:pPr>
            <w:r w:rsidRPr="006249D2">
              <w:rPr>
                <w:rFonts w:ascii="Times New Roman" w:hAnsi="Times New Roman" w:cs="Times New Roman"/>
                <w:sz w:val="28"/>
                <w:szCs w:val="28"/>
              </w:rPr>
              <w:t>Средний риск</w:t>
            </w:r>
          </w:p>
        </w:tc>
      </w:tr>
      <w:tr w:rsidR="006249D2" w:rsidRPr="006249D2" w:rsidTr="006249D2">
        <w:tc>
          <w:tcPr>
            <w:tcW w:w="680" w:type="dxa"/>
            <w:tcBorders>
              <w:top w:val="single" w:sz="4" w:space="0" w:color="auto"/>
              <w:left w:val="single" w:sz="4" w:space="0" w:color="auto"/>
              <w:bottom w:val="single" w:sz="4" w:space="0" w:color="auto"/>
              <w:right w:val="single" w:sz="4" w:space="0" w:color="auto"/>
            </w:tcBorders>
          </w:tcPr>
          <w:p w:rsidR="006249D2" w:rsidRPr="006249D2" w:rsidRDefault="006249D2" w:rsidP="00D14BC1">
            <w:pPr>
              <w:autoSpaceDE w:val="0"/>
              <w:autoSpaceDN w:val="0"/>
              <w:adjustRightInd w:val="0"/>
              <w:rPr>
                <w:rFonts w:ascii="Times New Roman" w:hAnsi="Times New Roman" w:cs="Times New Roman"/>
                <w:sz w:val="24"/>
                <w:szCs w:val="24"/>
              </w:rPr>
            </w:pPr>
            <w:bookmarkStart w:id="2" w:name="Par12"/>
            <w:bookmarkEnd w:id="2"/>
            <w:r w:rsidRPr="006249D2">
              <w:rPr>
                <w:rFonts w:ascii="Times New Roman" w:hAnsi="Times New Roman" w:cs="Times New Roman"/>
                <w:sz w:val="24"/>
                <w:szCs w:val="24"/>
              </w:rPr>
              <w:t>3</w:t>
            </w:r>
          </w:p>
        </w:tc>
        <w:tc>
          <w:tcPr>
            <w:tcW w:w="7253" w:type="dxa"/>
            <w:tcBorders>
              <w:top w:val="single" w:sz="4" w:space="0" w:color="auto"/>
              <w:left w:val="single" w:sz="4" w:space="0" w:color="auto"/>
              <w:bottom w:val="single" w:sz="4" w:space="0" w:color="auto"/>
              <w:right w:val="single" w:sz="4" w:space="0" w:color="auto"/>
            </w:tcBorders>
          </w:tcPr>
          <w:p w:rsidR="006249D2" w:rsidRPr="006249D2" w:rsidRDefault="006249D2" w:rsidP="006249D2">
            <w:pPr>
              <w:autoSpaceDE w:val="0"/>
              <w:autoSpaceDN w:val="0"/>
              <w:adjustRightInd w:val="0"/>
              <w:jc w:val="both"/>
              <w:rPr>
                <w:rFonts w:ascii="Times New Roman" w:hAnsi="Times New Roman" w:cs="Times New Roman"/>
                <w:sz w:val="28"/>
                <w:szCs w:val="28"/>
              </w:rPr>
            </w:pPr>
            <w:r w:rsidRPr="006249D2">
              <w:rPr>
                <w:rFonts w:ascii="Times New Roman" w:hAnsi="Times New Roman" w:cs="Times New Roman"/>
                <w:sz w:val="28"/>
                <w:szCs w:val="28"/>
              </w:rPr>
              <w:t xml:space="preserve">Юридические лица, индивидуальные предприниматели при наличии в течение последних пяти лет на дату принятия </w:t>
            </w:r>
            <w:r w:rsidRPr="006249D2">
              <w:rPr>
                <w:rFonts w:ascii="Times New Roman" w:hAnsi="Times New Roman" w:cs="Times New Roman"/>
                <w:sz w:val="28"/>
                <w:szCs w:val="28"/>
              </w:rPr>
              <w:lastRenderedPageBreak/>
              <w:t>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1560" w:type="dxa"/>
            <w:tcBorders>
              <w:top w:val="single" w:sz="4" w:space="0" w:color="auto"/>
              <w:left w:val="single" w:sz="4" w:space="0" w:color="auto"/>
              <w:bottom w:val="single" w:sz="4" w:space="0" w:color="auto"/>
              <w:right w:val="single" w:sz="4" w:space="0" w:color="auto"/>
            </w:tcBorders>
          </w:tcPr>
          <w:p w:rsidR="006249D2" w:rsidRPr="006249D2" w:rsidRDefault="006249D2" w:rsidP="006249D2">
            <w:pPr>
              <w:autoSpaceDE w:val="0"/>
              <w:autoSpaceDN w:val="0"/>
              <w:adjustRightInd w:val="0"/>
              <w:jc w:val="both"/>
              <w:rPr>
                <w:rFonts w:ascii="Times New Roman" w:hAnsi="Times New Roman" w:cs="Times New Roman"/>
                <w:sz w:val="28"/>
                <w:szCs w:val="28"/>
              </w:rPr>
            </w:pPr>
            <w:r w:rsidRPr="006249D2">
              <w:rPr>
                <w:rFonts w:ascii="Times New Roman" w:hAnsi="Times New Roman" w:cs="Times New Roman"/>
                <w:sz w:val="28"/>
                <w:szCs w:val="28"/>
              </w:rPr>
              <w:lastRenderedPageBreak/>
              <w:t>Умеренный риск</w:t>
            </w:r>
          </w:p>
        </w:tc>
      </w:tr>
      <w:tr w:rsidR="006249D2" w:rsidRPr="006249D2" w:rsidTr="006249D2">
        <w:tc>
          <w:tcPr>
            <w:tcW w:w="680" w:type="dxa"/>
            <w:tcBorders>
              <w:top w:val="single" w:sz="4" w:space="0" w:color="auto"/>
              <w:left w:val="single" w:sz="4" w:space="0" w:color="auto"/>
              <w:bottom w:val="single" w:sz="4" w:space="0" w:color="auto"/>
              <w:right w:val="single" w:sz="4" w:space="0" w:color="auto"/>
            </w:tcBorders>
          </w:tcPr>
          <w:p w:rsidR="006249D2" w:rsidRPr="006249D2" w:rsidRDefault="006249D2" w:rsidP="00D14BC1">
            <w:pPr>
              <w:autoSpaceDE w:val="0"/>
              <w:autoSpaceDN w:val="0"/>
              <w:adjustRightInd w:val="0"/>
              <w:rPr>
                <w:rFonts w:ascii="Times New Roman" w:hAnsi="Times New Roman" w:cs="Times New Roman"/>
                <w:sz w:val="24"/>
                <w:szCs w:val="24"/>
              </w:rPr>
            </w:pPr>
            <w:r w:rsidRPr="006249D2">
              <w:rPr>
                <w:rFonts w:ascii="Times New Roman" w:hAnsi="Times New Roman" w:cs="Times New Roman"/>
                <w:sz w:val="24"/>
                <w:szCs w:val="24"/>
              </w:rPr>
              <w:t>4</w:t>
            </w:r>
          </w:p>
        </w:tc>
        <w:tc>
          <w:tcPr>
            <w:tcW w:w="7253" w:type="dxa"/>
            <w:tcBorders>
              <w:top w:val="single" w:sz="4" w:space="0" w:color="auto"/>
              <w:left w:val="single" w:sz="4" w:space="0" w:color="auto"/>
              <w:bottom w:val="single" w:sz="4" w:space="0" w:color="auto"/>
              <w:right w:val="single" w:sz="4" w:space="0" w:color="auto"/>
            </w:tcBorders>
          </w:tcPr>
          <w:p w:rsidR="006249D2" w:rsidRPr="006249D2" w:rsidRDefault="006249D2" w:rsidP="006249D2">
            <w:pPr>
              <w:autoSpaceDE w:val="0"/>
              <w:autoSpaceDN w:val="0"/>
              <w:adjustRightInd w:val="0"/>
              <w:jc w:val="both"/>
              <w:rPr>
                <w:rFonts w:ascii="Times New Roman" w:hAnsi="Times New Roman" w:cs="Times New Roman"/>
                <w:sz w:val="28"/>
                <w:szCs w:val="28"/>
              </w:rPr>
            </w:pPr>
            <w:r w:rsidRPr="006249D2">
              <w:rPr>
                <w:rFonts w:ascii="Times New Roman" w:hAnsi="Times New Roman" w:cs="Times New Roman"/>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560" w:type="dxa"/>
            <w:tcBorders>
              <w:top w:val="single" w:sz="4" w:space="0" w:color="auto"/>
              <w:left w:val="single" w:sz="4" w:space="0" w:color="auto"/>
              <w:bottom w:val="single" w:sz="4" w:space="0" w:color="auto"/>
              <w:right w:val="single" w:sz="4" w:space="0" w:color="auto"/>
            </w:tcBorders>
          </w:tcPr>
          <w:p w:rsidR="006249D2" w:rsidRPr="006249D2" w:rsidRDefault="006249D2" w:rsidP="006249D2">
            <w:pPr>
              <w:autoSpaceDE w:val="0"/>
              <w:autoSpaceDN w:val="0"/>
              <w:adjustRightInd w:val="0"/>
              <w:jc w:val="both"/>
              <w:rPr>
                <w:rFonts w:ascii="Times New Roman" w:hAnsi="Times New Roman" w:cs="Times New Roman"/>
                <w:sz w:val="28"/>
                <w:szCs w:val="28"/>
              </w:rPr>
            </w:pPr>
            <w:r w:rsidRPr="006249D2">
              <w:rPr>
                <w:rFonts w:ascii="Times New Roman" w:hAnsi="Times New Roman" w:cs="Times New Roman"/>
                <w:sz w:val="28"/>
                <w:szCs w:val="28"/>
              </w:rPr>
              <w:t>Низкий риск</w:t>
            </w:r>
          </w:p>
        </w:tc>
      </w:tr>
    </w:tbl>
    <w:p w:rsidR="006249D2" w:rsidRDefault="006249D2" w:rsidP="005D2117">
      <w:pPr>
        <w:pStyle w:val="a3"/>
        <w:spacing w:before="0" w:beforeAutospacing="0" w:after="0" w:afterAutospacing="0"/>
        <w:ind w:firstLine="708"/>
        <w:jc w:val="both"/>
        <w:rPr>
          <w:color w:val="000000"/>
          <w:sz w:val="28"/>
          <w:szCs w:val="28"/>
        </w:rPr>
      </w:pPr>
    </w:p>
    <w:p w:rsidR="00E93FA8" w:rsidRPr="00E93FA8" w:rsidRDefault="00E93FA8" w:rsidP="00511142">
      <w:pPr>
        <w:ind w:firstLine="567"/>
        <w:jc w:val="both"/>
        <w:rPr>
          <w:rFonts w:ascii="Times New Roman" w:hAnsi="Times New Roman" w:cs="Times New Roman"/>
          <w:sz w:val="28"/>
          <w:szCs w:val="28"/>
        </w:rPr>
      </w:pPr>
      <w:r w:rsidRPr="00E93FA8">
        <w:rPr>
          <w:rFonts w:ascii="Times New Roman" w:hAnsi="Times New Roman" w:cs="Times New Roman"/>
          <w:sz w:val="28"/>
          <w:szCs w:val="28"/>
        </w:rPr>
        <w:t xml:space="preserve">В соответствии с </w:t>
      </w:r>
      <w:r w:rsidR="00511142">
        <w:rPr>
          <w:rFonts w:ascii="Times New Roman" w:hAnsi="Times New Roman" w:cs="Times New Roman"/>
          <w:sz w:val="28"/>
          <w:szCs w:val="28"/>
        </w:rPr>
        <w:t>пунктом</w:t>
      </w:r>
      <w:r w:rsidRPr="00E93FA8">
        <w:rPr>
          <w:rFonts w:ascii="Times New Roman" w:hAnsi="Times New Roman" w:cs="Times New Roman"/>
          <w:sz w:val="28"/>
          <w:szCs w:val="28"/>
        </w:rPr>
        <w:t xml:space="preserve"> </w:t>
      </w:r>
      <w:r w:rsidR="00511142">
        <w:rPr>
          <w:rFonts w:ascii="Times New Roman" w:hAnsi="Times New Roman" w:cs="Times New Roman"/>
          <w:sz w:val="28"/>
          <w:szCs w:val="28"/>
        </w:rPr>
        <w:t>3</w:t>
      </w:r>
      <w:r w:rsidRPr="00E93FA8">
        <w:rPr>
          <w:rFonts w:ascii="Times New Roman" w:hAnsi="Times New Roman" w:cs="Times New Roman"/>
          <w:sz w:val="28"/>
          <w:szCs w:val="28"/>
        </w:rPr>
        <w:t xml:space="preserve"> Решения </w:t>
      </w:r>
      <w:r w:rsidR="00511142" w:rsidRPr="00511142">
        <w:rPr>
          <w:rFonts w:ascii="Times New Roman" w:hAnsi="Times New Roman" w:cs="Times New Roman"/>
          <w:sz w:val="28"/>
          <w:szCs w:val="28"/>
        </w:rPr>
        <w:t xml:space="preserve">Решение </w:t>
      </w:r>
      <w:proofErr w:type="spellStart"/>
      <w:r w:rsidR="00511142" w:rsidRPr="00511142">
        <w:rPr>
          <w:rFonts w:ascii="Times New Roman" w:hAnsi="Times New Roman" w:cs="Times New Roman"/>
          <w:sz w:val="28"/>
          <w:szCs w:val="28"/>
        </w:rPr>
        <w:t>Хатангского</w:t>
      </w:r>
      <w:proofErr w:type="spellEnd"/>
      <w:r w:rsidR="00511142" w:rsidRPr="00511142">
        <w:rPr>
          <w:rFonts w:ascii="Times New Roman" w:hAnsi="Times New Roman" w:cs="Times New Roman"/>
          <w:sz w:val="28"/>
          <w:szCs w:val="28"/>
        </w:rPr>
        <w:t xml:space="preserve"> сельского Совет</w:t>
      </w:r>
      <w:r w:rsidR="00511142">
        <w:rPr>
          <w:rFonts w:ascii="Times New Roman" w:hAnsi="Times New Roman" w:cs="Times New Roman"/>
          <w:sz w:val="28"/>
          <w:szCs w:val="28"/>
        </w:rPr>
        <w:t xml:space="preserve">а депутатов от 25.04.2023г. № 31 </w:t>
      </w:r>
      <w:r w:rsidR="00511142" w:rsidRPr="00511142">
        <w:rPr>
          <w:rFonts w:ascii="Times New Roman" w:hAnsi="Times New Roman" w:cs="Times New Roman"/>
          <w:sz w:val="28"/>
          <w:szCs w:val="28"/>
        </w:rPr>
        <w:t>-</w:t>
      </w:r>
      <w:r w:rsidR="00511142">
        <w:rPr>
          <w:rFonts w:ascii="Times New Roman" w:hAnsi="Times New Roman" w:cs="Times New Roman"/>
          <w:sz w:val="28"/>
          <w:szCs w:val="28"/>
        </w:rPr>
        <w:t xml:space="preserve"> </w:t>
      </w:r>
      <w:r w:rsidR="00511142" w:rsidRPr="00511142">
        <w:rPr>
          <w:rFonts w:ascii="Times New Roman" w:hAnsi="Times New Roman" w:cs="Times New Roman"/>
          <w:sz w:val="28"/>
          <w:szCs w:val="28"/>
        </w:rPr>
        <w:t>РС</w:t>
      </w:r>
      <w:r w:rsidR="00511142">
        <w:rPr>
          <w:rFonts w:ascii="Times New Roman" w:hAnsi="Times New Roman" w:cs="Times New Roman"/>
          <w:sz w:val="28"/>
          <w:szCs w:val="28"/>
        </w:rPr>
        <w:t xml:space="preserve"> «</w:t>
      </w:r>
      <w:r w:rsidR="00511142" w:rsidRPr="00511142">
        <w:rPr>
          <w:rFonts w:ascii="Times New Roman" w:hAnsi="Times New Roman" w:cs="Times New Roman"/>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Хатанга</w:t>
      </w:r>
      <w:r w:rsidR="00511142">
        <w:rPr>
          <w:rFonts w:ascii="Times New Roman" w:hAnsi="Times New Roman" w:cs="Times New Roman"/>
          <w:sz w:val="28"/>
          <w:szCs w:val="28"/>
        </w:rPr>
        <w:t>»</w:t>
      </w:r>
      <w:r w:rsidRPr="00E93FA8">
        <w:rPr>
          <w:rFonts w:ascii="Times New Roman" w:hAnsi="Times New Roman" w:cs="Times New Roman"/>
          <w:sz w:val="28"/>
          <w:szCs w:val="28"/>
        </w:rPr>
        <w:t xml:space="preserve"> - муниципальный контроль на автомобильном транспорте, городском наземном электрическом транспорте и в дорожном хозяйстве в муниципальном образовании </w:t>
      </w:r>
      <w:r w:rsidR="00511142">
        <w:rPr>
          <w:rFonts w:ascii="Times New Roman" w:hAnsi="Times New Roman" w:cs="Times New Roman"/>
          <w:sz w:val="28"/>
          <w:szCs w:val="28"/>
        </w:rPr>
        <w:t xml:space="preserve">«Сельское поселение Хатанга» </w:t>
      </w:r>
      <w:r w:rsidRPr="00E93FA8">
        <w:rPr>
          <w:rFonts w:ascii="Times New Roman" w:hAnsi="Times New Roman" w:cs="Times New Roman"/>
          <w:sz w:val="28"/>
          <w:szCs w:val="28"/>
        </w:rPr>
        <w:t>осуществляется без проведения плановых контрольных мероприятий.</w:t>
      </w:r>
    </w:p>
    <w:sectPr w:rsidR="00E93FA8" w:rsidRPr="00E93FA8" w:rsidSect="005D211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6D"/>
    <w:rsid w:val="00511142"/>
    <w:rsid w:val="005D2117"/>
    <w:rsid w:val="006249D2"/>
    <w:rsid w:val="00723BD6"/>
    <w:rsid w:val="00866065"/>
    <w:rsid w:val="00A7236D"/>
    <w:rsid w:val="00BF2A76"/>
    <w:rsid w:val="00E93F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BE97C-8285-417B-8466-7892B00D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21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E93FA8"/>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Елена Коваленко</cp:lastModifiedBy>
  <cp:revision>2</cp:revision>
  <dcterms:created xsi:type="dcterms:W3CDTF">2023-03-10T11:15:00Z</dcterms:created>
  <dcterms:modified xsi:type="dcterms:W3CDTF">2023-03-10T11:15:00Z</dcterms:modified>
</cp:coreProperties>
</file>