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694065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29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Красноярского края от 20.12.2013 N 676-п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"Об утверждении Методики применения критериев очередности проведения капитального ремонта общего имущества в многоквартирных домах в целях формирования и актуализации региональной программы капитального ремонта общего имущества в многоквартирных домах"</w:t>
            </w:r>
          </w:p>
          <w:p w:rsidR="00000000" w:rsidRDefault="008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Д</w:t>
            </w:r>
            <w:r>
              <w:rPr>
                <w:rFonts w:ascii="Tahoma" w:hAnsi="Tahoma" w:cs="Tahoma"/>
                <w:sz w:val="28"/>
                <w:szCs w:val="28"/>
              </w:rPr>
              <w:t xml:space="preserve">окумент предоставлен </w:t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9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17.03.2014</w:t>
            </w:r>
          </w:p>
          <w:p w:rsidR="00000000" w:rsidRDefault="0086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865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865A26">
      <w:pPr>
        <w:pStyle w:val="ConsPlusNormal"/>
        <w:outlineLvl w:val="0"/>
      </w:pPr>
    </w:p>
    <w:p w:rsidR="00000000" w:rsidRDefault="00865A26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ПРАВИТЕЛЬСТВО КРАСНОЯРСКОГО КРАЯ</w:t>
      </w:r>
    </w:p>
    <w:p w:rsidR="00000000" w:rsidRDefault="00865A26">
      <w:pPr>
        <w:pStyle w:val="ConsPlusNormal"/>
        <w:jc w:val="center"/>
        <w:rPr>
          <w:b/>
          <w:bCs/>
        </w:rPr>
      </w:pPr>
    </w:p>
    <w:p w:rsidR="00000000" w:rsidRDefault="00865A26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865A26">
      <w:pPr>
        <w:pStyle w:val="ConsPlusNormal"/>
        <w:jc w:val="center"/>
        <w:rPr>
          <w:b/>
          <w:bCs/>
        </w:rPr>
      </w:pPr>
      <w:r>
        <w:rPr>
          <w:b/>
          <w:bCs/>
        </w:rPr>
        <w:t>от 20 декабря 2013 г. N 676-п</w:t>
      </w:r>
    </w:p>
    <w:p w:rsidR="00000000" w:rsidRDefault="00865A26">
      <w:pPr>
        <w:pStyle w:val="ConsPlusNormal"/>
        <w:jc w:val="center"/>
        <w:rPr>
          <w:b/>
          <w:bCs/>
        </w:rPr>
      </w:pPr>
    </w:p>
    <w:p w:rsidR="00000000" w:rsidRDefault="00865A26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МЕТОДИКИ ПРИМЕНЕНИЯ КРИТЕРИЕВ ОЧЕРЕДНОСТИ</w:t>
      </w:r>
    </w:p>
    <w:p w:rsidR="00000000" w:rsidRDefault="00865A26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КАПИТАЛЬНОГО РЕМОНТА ОБЩЕГО ИМУЩЕСТВА</w:t>
      </w:r>
    </w:p>
    <w:p w:rsidR="00000000" w:rsidRDefault="00865A26">
      <w:pPr>
        <w:pStyle w:val="ConsPlusNormal"/>
        <w:jc w:val="center"/>
        <w:rPr>
          <w:b/>
          <w:bCs/>
        </w:rPr>
      </w:pPr>
      <w:r>
        <w:rPr>
          <w:b/>
          <w:bCs/>
        </w:rPr>
        <w:t>В МНОГОКВАРТИРНЫХ ДОМАХ В ЦЕЛЯХ ФОРМИРОВАНИЯ И АКТУАЛИЗАЦИИ</w:t>
      </w:r>
    </w:p>
    <w:p w:rsidR="00000000" w:rsidRDefault="00865A26">
      <w:pPr>
        <w:pStyle w:val="ConsPlusNormal"/>
        <w:jc w:val="center"/>
        <w:rPr>
          <w:b/>
          <w:bCs/>
        </w:rPr>
      </w:pPr>
      <w:r>
        <w:rPr>
          <w:b/>
          <w:bCs/>
        </w:rPr>
        <w:t>РЕГИОНАЛЬНОЙ ПРОГРАММЫ КАПИТАЛЬНОГО РЕМОНТА ОБЩЕГО</w:t>
      </w:r>
    </w:p>
    <w:p w:rsidR="00000000" w:rsidRDefault="00865A26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ИМУЩЕСТВА В МНОГОКВАРТИРНЫХ ДОМАХ</w:t>
      </w:r>
    </w:p>
    <w:p w:rsidR="00000000" w:rsidRDefault="00865A26">
      <w:pPr>
        <w:pStyle w:val="ConsPlusNormal"/>
        <w:ind w:firstLine="540"/>
        <w:jc w:val="both"/>
      </w:pPr>
    </w:p>
    <w:p w:rsidR="00000000" w:rsidRDefault="00865A26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10" w:tooltip="&quot;Жилищный кодекс Российской Федерации&quot; от 29.12.2004 N 188-ФЗ (ред. от 28.12.2013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" w:tooltip="Устав Красноярского края от 05.06.2008 N 5-1777 (ред. от 04.04.2013) (подписан Губернатором Красноярского края 10.06.2008){КонсультантПлюс}" w:history="1">
        <w:r>
          <w:rPr>
            <w:color w:val="0000FF"/>
          </w:rPr>
          <w:t>статьей 103</w:t>
        </w:r>
      </w:hyperlink>
      <w:r>
        <w:t xml:space="preserve"> Устава Красн</w:t>
      </w:r>
      <w:r>
        <w:t xml:space="preserve">оярского края, </w:t>
      </w:r>
      <w:hyperlink r:id="rId12" w:tooltip="Закон Красноярского края от 27.06.2013 N 4-1451 &quot;Об организации проведения капитального ремонта общего имущества в многоквартирных домах, расположенных на территории Красноярского края&quot; (подписан Губернатором Красноярского края 11.07.2013){КонсультантПлюс}" w:history="1">
        <w:r>
          <w:rPr>
            <w:color w:val="0000FF"/>
          </w:rPr>
          <w:t>статьей 13</w:t>
        </w:r>
      </w:hyperlink>
      <w:r>
        <w:t xml:space="preserve"> Закона Красноярского края от 27.06.2013 N 4-1451 "Об организации проведения капитального</w:t>
      </w:r>
      <w:r>
        <w:t xml:space="preserve"> ремонта общего имущества в многоквартирных домах, расположенных на территории Красноярского края" постановляю:</w:t>
      </w:r>
    </w:p>
    <w:p w:rsidR="00000000" w:rsidRDefault="00865A26">
      <w:pPr>
        <w:pStyle w:val="ConsPlusNormal"/>
        <w:ind w:firstLine="540"/>
        <w:jc w:val="both"/>
      </w:pPr>
      <w:r>
        <w:t xml:space="preserve">1. Утвердить </w:t>
      </w:r>
      <w:hyperlink w:anchor="Par32" w:tooltip="Ссылка на текущий документ" w:history="1">
        <w:r>
          <w:rPr>
            <w:color w:val="0000FF"/>
          </w:rPr>
          <w:t>Методику</w:t>
        </w:r>
      </w:hyperlink>
      <w:r>
        <w:t xml:space="preserve"> применения критериев очередности проведения капитального ремонта общ</w:t>
      </w:r>
      <w:r>
        <w:t>его имущества в многоквартирных домах в целях формирования и актуализации региональной программы капитального ремонта общего имущества в многоквартирных домах согласно приложению.</w:t>
      </w:r>
    </w:p>
    <w:p w:rsidR="00000000" w:rsidRDefault="00865A26">
      <w:pPr>
        <w:pStyle w:val="ConsPlusNormal"/>
        <w:ind w:firstLine="540"/>
        <w:jc w:val="both"/>
      </w:pPr>
      <w:r>
        <w:t>2. Опубликовать Постановление в "Ведомостях высших органов государственной в</w:t>
      </w:r>
      <w:r>
        <w:t>ласти Красноярского края" и на "Официальном интернет-портале правовой информации Красноярского края" (www.zakon.krskstate.ru).</w:t>
      </w:r>
    </w:p>
    <w:p w:rsidR="00000000" w:rsidRDefault="00865A26">
      <w:pPr>
        <w:pStyle w:val="ConsPlusNormal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:rsidR="00000000" w:rsidRDefault="00865A26">
      <w:pPr>
        <w:pStyle w:val="ConsPlusNormal"/>
        <w:ind w:firstLine="540"/>
        <w:jc w:val="both"/>
      </w:pPr>
    </w:p>
    <w:p w:rsidR="00000000" w:rsidRDefault="00865A26">
      <w:pPr>
        <w:pStyle w:val="ConsPlusNormal"/>
        <w:jc w:val="right"/>
      </w:pPr>
      <w:r>
        <w:t>Первый заместитель</w:t>
      </w:r>
    </w:p>
    <w:p w:rsidR="00000000" w:rsidRDefault="00865A26">
      <w:pPr>
        <w:pStyle w:val="ConsPlusNormal"/>
        <w:jc w:val="right"/>
      </w:pPr>
      <w:r>
        <w:t>Губернатора края -</w:t>
      </w:r>
    </w:p>
    <w:p w:rsidR="00000000" w:rsidRDefault="00865A26">
      <w:pPr>
        <w:pStyle w:val="ConsPlusNormal"/>
        <w:jc w:val="right"/>
      </w:pPr>
      <w:r>
        <w:t>председатель</w:t>
      </w:r>
    </w:p>
    <w:p w:rsidR="00000000" w:rsidRDefault="00865A26">
      <w:pPr>
        <w:pStyle w:val="ConsPlusNormal"/>
        <w:jc w:val="right"/>
      </w:pPr>
      <w:r>
        <w:t>Правительства края</w:t>
      </w:r>
    </w:p>
    <w:p w:rsidR="00000000" w:rsidRDefault="00865A26">
      <w:pPr>
        <w:pStyle w:val="ConsPlusNormal"/>
        <w:jc w:val="right"/>
      </w:pPr>
      <w:r>
        <w:t>В.П.ТОМЕНКО</w:t>
      </w:r>
    </w:p>
    <w:p w:rsidR="00000000" w:rsidRDefault="00865A26">
      <w:pPr>
        <w:pStyle w:val="ConsPlusNormal"/>
        <w:jc w:val="right"/>
      </w:pPr>
    </w:p>
    <w:p w:rsidR="00000000" w:rsidRDefault="00865A26">
      <w:pPr>
        <w:pStyle w:val="ConsPlusNormal"/>
        <w:jc w:val="right"/>
      </w:pPr>
    </w:p>
    <w:p w:rsidR="00000000" w:rsidRDefault="00865A26">
      <w:pPr>
        <w:pStyle w:val="ConsPlusNormal"/>
        <w:jc w:val="right"/>
      </w:pPr>
    </w:p>
    <w:p w:rsidR="00000000" w:rsidRDefault="00865A26">
      <w:pPr>
        <w:pStyle w:val="ConsPlusNormal"/>
        <w:jc w:val="right"/>
      </w:pPr>
    </w:p>
    <w:p w:rsidR="00000000" w:rsidRDefault="00865A26">
      <w:pPr>
        <w:pStyle w:val="ConsPlusNormal"/>
        <w:jc w:val="right"/>
      </w:pPr>
    </w:p>
    <w:p w:rsidR="00000000" w:rsidRDefault="00865A26">
      <w:pPr>
        <w:pStyle w:val="ConsPlusNormal"/>
        <w:jc w:val="right"/>
        <w:outlineLvl w:val="0"/>
      </w:pPr>
      <w:bookmarkStart w:id="2" w:name="Par27"/>
      <w:bookmarkEnd w:id="2"/>
      <w:r>
        <w:t>Приложение</w:t>
      </w:r>
    </w:p>
    <w:p w:rsidR="00000000" w:rsidRDefault="00865A26">
      <w:pPr>
        <w:pStyle w:val="ConsPlusNormal"/>
        <w:jc w:val="right"/>
      </w:pPr>
      <w:r>
        <w:t>к Постановлению</w:t>
      </w:r>
    </w:p>
    <w:p w:rsidR="00000000" w:rsidRDefault="00865A26">
      <w:pPr>
        <w:pStyle w:val="ConsPlusNormal"/>
        <w:jc w:val="right"/>
      </w:pPr>
      <w:r>
        <w:t>Правительства Красноярского края</w:t>
      </w:r>
    </w:p>
    <w:p w:rsidR="00000000" w:rsidRDefault="00865A26">
      <w:pPr>
        <w:pStyle w:val="ConsPlusNormal"/>
        <w:jc w:val="right"/>
      </w:pPr>
      <w:r>
        <w:t>от 20 декабря 2013 г. N 676-п</w:t>
      </w:r>
    </w:p>
    <w:p w:rsidR="00000000" w:rsidRDefault="00865A26">
      <w:pPr>
        <w:pStyle w:val="ConsPlusNormal"/>
        <w:ind w:firstLine="540"/>
        <w:jc w:val="both"/>
      </w:pPr>
    </w:p>
    <w:p w:rsidR="00000000" w:rsidRDefault="00865A26">
      <w:pPr>
        <w:pStyle w:val="ConsPlusNormal"/>
        <w:jc w:val="center"/>
        <w:rPr>
          <w:b/>
          <w:bCs/>
        </w:rPr>
      </w:pPr>
      <w:bookmarkStart w:id="3" w:name="Par32"/>
      <w:bookmarkEnd w:id="3"/>
      <w:r>
        <w:rPr>
          <w:b/>
          <w:bCs/>
        </w:rPr>
        <w:t>МЕТОДИКА</w:t>
      </w:r>
    </w:p>
    <w:p w:rsidR="00000000" w:rsidRDefault="00865A26">
      <w:pPr>
        <w:pStyle w:val="ConsPlusNormal"/>
        <w:jc w:val="center"/>
        <w:rPr>
          <w:b/>
          <w:bCs/>
        </w:rPr>
      </w:pPr>
      <w:r>
        <w:rPr>
          <w:b/>
          <w:bCs/>
        </w:rPr>
        <w:t>ПРИМЕНЕНИЯ КРИТЕРИЕВ ОЧЕРЕДНОСТИ ПРОВЕДЕНИЯ КАПИТАЛЬНОГО</w:t>
      </w:r>
    </w:p>
    <w:p w:rsidR="00000000" w:rsidRDefault="00865A26">
      <w:pPr>
        <w:pStyle w:val="ConsPlusNormal"/>
        <w:jc w:val="center"/>
        <w:rPr>
          <w:b/>
          <w:bCs/>
        </w:rPr>
      </w:pPr>
      <w:r>
        <w:rPr>
          <w:b/>
          <w:bCs/>
        </w:rPr>
        <w:t>РЕМОНТА ОБЩЕГО ИМУЩЕСТВА В МНОГОКВАРТИРНЫХ ДОМАХ В ЦЕЛЯХ</w:t>
      </w:r>
    </w:p>
    <w:p w:rsidR="00000000" w:rsidRDefault="00865A26">
      <w:pPr>
        <w:pStyle w:val="ConsPlusNormal"/>
        <w:jc w:val="center"/>
        <w:rPr>
          <w:b/>
          <w:bCs/>
        </w:rPr>
      </w:pPr>
      <w:r>
        <w:rPr>
          <w:b/>
          <w:bCs/>
        </w:rPr>
        <w:t>ФОРМИРОВАНИЯ И АКТУАЛИЗАЦИИ РЕГИОНАЛЬНОЙ ПРОГРАММЫ</w:t>
      </w:r>
    </w:p>
    <w:p w:rsidR="00000000" w:rsidRDefault="00865A26">
      <w:pPr>
        <w:pStyle w:val="ConsPlusNormal"/>
        <w:jc w:val="center"/>
        <w:rPr>
          <w:b/>
          <w:bCs/>
        </w:rPr>
      </w:pPr>
      <w:r>
        <w:rPr>
          <w:b/>
          <w:bCs/>
        </w:rPr>
        <w:t>КАПИТАЛЬНОГО РЕМОНТА ОБЩЕГО ИМУЩЕСТВА</w:t>
      </w:r>
    </w:p>
    <w:p w:rsidR="00000000" w:rsidRDefault="00865A26">
      <w:pPr>
        <w:pStyle w:val="ConsPlusNormal"/>
        <w:jc w:val="center"/>
        <w:rPr>
          <w:b/>
          <w:bCs/>
        </w:rPr>
      </w:pPr>
      <w:r>
        <w:rPr>
          <w:b/>
          <w:bCs/>
        </w:rPr>
        <w:t>В МНОГОКВАРТИРНЫХ ДОМАХ</w:t>
      </w:r>
    </w:p>
    <w:p w:rsidR="00000000" w:rsidRDefault="00865A26">
      <w:pPr>
        <w:pStyle w:val="ConsPlusNormal"/>
        <w:ind w:firstLine="540"/>
        <w:jc w:val="both"/>
      </w:pPr>
    </w:p>
    <w:p w:rsidR="00000000" w:rsidRDefault="00865A26">
      <w:pPr>
        <w:pStyle w:val="ConsPlusNormal"/>
        <w:ind w:firstLine="540"/>
        <w:jc w:val="both"/>
      </w:pPr>
      <w:r>
        <w:t>1. Настоящая Методика применения критериев очередности проведения капитального ремонт</w:t>
      </w:r>
      <w:r>
        <w:t>а общего имущества в многоквартирных домах в целях формирования и актуализации региональной программы капитального ремонта общего имущества в многоквартирных домах (далее - Методика) устанавливает процедуру применения критериев очередности проведения капит</w:t>
      </w:r>
      <w:r>
        <w:t>ального ремонта общего имущества в многоквартирных домах для определения года проведения капитального ремонта каждого из объектов общего имущества многоквартирного дома, планируемого к включению в региональную программу капитального ремонта общего имуществ</w:t>
      </w:r>
      <w:r>
        <w:t>а в многоквартирных домах (далее - региональная программа).</w:t>
      </w:r>
    </w:p>
    <w:p w:rsidR="00000000" w:rsidRDefault="00865A26">
      <w:pPr>
        <w:pStyle w:val="ConsPlusNormal"/>
        <w:ind w:firstLine="540"/>
        <w:jc w:val="both"/>
      </w:pPr>
      <w:r>
        <w:t xml:space="preserve">2. Понятия и термины, используемые в настоящей Методике, используются в значениях, </w:t>
      </w:r>
      <w:r>
        <w:lastRenderedPageBreak/>
        <w:t xml:space="preserve">определенных Жилищным </w:t>
      </w:r>
      <w:hyperlink r:id="rId13" w:tooltip="&quot;Жилищный кодекс Российской Федерации&quot; от 29.12.2004 N 188-ФЗ (ред. от 28.12.2013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 Российской Федерации, регулирующими правоотношения при организации</w:t>
      </w:r>
      <w:r>
        <w:t xml:space="preserve"> и проведении капитального ремонта общего имущества в многоквартирных домах.</w:t>
      </w:r>
    </w:p>
    <w:p w:rsidR="00000000" w:rsidRDefault="00865A26">
      <w:pPr>
        <w:pStyle w:val="ConsPlusNormal"/>
        <w:ind w:firstLine="540"/>
        <w:jc w:val="both"/>
      </w:pPr>
      <w:bookmarkStart w:id="4" w:name="Par41"/>
      <w:bookmarkEnd w:id="4"/>
      <w:r>
        <w:t>3. Для формирования региональной программы и определения очередности проведения капитального ремонта общего имущества в многоквартирных домах согласно перечню услуг и (и</w:t>
      </w:r>
      <w:r>
        <w:t xml:space="preserve">ли)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ремонта, предусмотренному </w:t>
      </w:r>
      <w:hyperlink r:id="rId14" w:tooltip="Закон Красноярского края от 27.06.2013 N 4-1451 &quot;Об организации проведения капитального ремонта общего имущества в многоквартирных домах, расположенных на территории Красноярского края&quot; (подписан Губернатором Красноярского края 11.07.2013){КонсультантПлюс}" w:history="1">
        <w:r>
          <w:rPr>
            <w:color w:val="0000FF"/>
          </w:rPr>
          <w:t>статьей 14</w:t>
        </w:r>
      </w:hyperlink>
      <w:r>
        <w:t xml:space="preserve"> Закона Красноярского края от 27.06.2013 N 4-1451 "Об организации проведения капитального ремонта общего имущества в многоквартирных домах, расположенных на территории Красно</w:t>
      </w:r>
      <w:r>
        <w:t>ярского края" (далее - Закон края), министерством энергетики и жилищно-коммунального хозяйства Красноярского края (далее - министерство) используются критерии очередности проведения капитального ремонта общего имущества в многоквартирных домах, установленн</w:t>
      </w:r>
      <w:r>
        <w:t xml:space="preserve">ые </w:t>
      </w:r>
      <w:hyperlink r:id="rId15" w:tooltip="Закон Красноярского края от 27.06.2013 N 4-1451 &quot;Об организации проведения капитального ремонта общего имущества в многоквартирных домах, расположенных на территории Красноярского края&quot; (подписан Губернатором Красноярского края 11.07.2013){КонсультантПлюс}" w:history="1">
        <w:r>
          <w:rPr>
            <w:color w:val="0000FF"/>
          </w:rPr>
          <w:t>статьей 13</w:t>
        </w:r>
      </w:hyperlink>
      <w:r>
        <w:t xml:space="preserve"> Закона края (далее - критерии).</w:t>
      </w:r>
    </w:p>
    <w:p w:rsidR="00000000" w:rsidRDefault="00865A26">
      <w:pPr>
        <w:pStyle w:val="ConsPlusNormal"/>
        <w:ind w:firstLine="540"/>
        <w:jc w:val="both"/>
      </w:pPr>
      <w:r>
        <w:t xml:space="preserve">4. Формирование </w:t>
      </w:r>
      <w:hyperlink w:anchor="Par98" w:tooltip="Ссылка на текущий документ" w:history="1">
        <w:r>
          <w:rPr>
            <w:color w:val="0000FF"/>
          </w:rPr>
          <w:t>р</w:t>
        </w:r>
        <w:r>
          <w:rPr>
            <w:color w:val="0000FF"/>
          </w:rPr>
          <w:t>еестра</w:t>
        </w:r>
      </w:hyperlink>
      <w:r>
        <w:t xml:space="preserve"> многоквартирных домов, подлежащих включению в региональную программу с указанием года проведения капитального ремонта общего имущества в многоквартирных домах (далее - реестр), осуществляется по форме согласно приложению N 1 к Методике по следующ</w:t>
      </w:r>
      <w:r>
        <w:t>им этапам:</w:t>
      </w:r>
    </w:p>
    <w:p w:rsidR="00000000" w:rsidRDefault="00865A26">
      <w:pPr>
        <w:pStyle w:val="ConsPlusNormal"/>
        <w:ind w:firstLine="540"/>
        <w:jc w:val="both"/>
      </w:pPr>
      <w:r>
        <w:t>4.1. Формирование перечня всех многоквартирных домов с учетом данных о техническом состоянии многоквартирных домов на территории муниципального образования.</w:t>
      </w:r>
    </w:p>
    <w:p w:rsidR="00000000" w:rsidRDefault="00865A26">
      <w:pPr>
        <w:pStyle w:val="ConsPlusNormal"/>
        <w:ind w:firstLine="540"/>
        <w:jc w:val="both"/>
      </w:pPr>
      <w:r>
        <w:t>4.2. Распределение многоквартирных домов в муниципальном образовании по блокам в соответ</w:t>
      </w:r>
      <w:r>
        <w:t xml:space="preserve">ствии с </w:t>
      </w:r>
      <w:hyperlink w:anchor="Par49" w:tooltip="Ссылка на текущий документ" w:history="1">
        <w:r>
          <w:rPr>
            <w:color w:val="0000FF"/>
          </w:rPr>
          <w:t>пунктом 6</w:t>
        </w:r>
      </w:hyperlink>
      <w:r>
        <w:t xml:space="preserve"> Методики.</w:t>
      </w:r>
    </w:p>
    <w:p w:rsidR="00000000" w:rsidRDefault="00865A26">
      <w:pPr>
        <w:pStyle w:val="ConsPlusNormal"/>
        <w:ind w:firstLine="540"/>
        <w:jc w:val="both"/>
      </w:pPr>
      <w:r>
        <w:t>4.3. Применение критериев очередности проведения капитального ремонта общего имущества в многоквартирных домах в целях формирования и актуализации региональной программы.</w:t>
      </w:r>
    </w:p>
    <w:p w:rsidR="00000000" w:rsidRDefault="00865A26">
      <w:pPr>
        <w:pStyle w:val="ConsPlusNormal"/>
        <w:ind w:firstLine="540"/>
        <w:jc w:val="both"/>
      </w:pPr>
      <w:r>
        <w:t>4.4</w:t>
      </w:r>
      <w:r>
        <w:t>. Определение предельного лимита фонда капитального ремонта в муниципальном образовании, обеспечивающего финансирование капитального ремонта общего имущества многоквартирных домов.</w:t>
      </w:r>
    </w:p>
    <w:p w:rsidR="00000000" w:rsidRDefault="00865A26">
      <w:pPr>
        <w:pStyle w:val="ConsPlusNormal"/>
        <w:ind w:firstLine="540"/>
        <w:jc w:val="both"/>
      </w:pPr>
      <w:r>
        <w:t>4.5. Формирование реестра многоквартирных домов, подлежащих включению в рег</w:t>
      </w:r>
      <w:r>
        <w:t>иональную программу с указанием года проведения капитального ремонта общего имущества в многоквартирных домах.</w:t>
      </w:r>
    </w:p>
    <w:p w:rsidR="00000000" w:rsidRDefault="00865A26">
      <w:pPr>
        <w:pStyle w:val="ConsPlusNormal"/>
        <w:ind w:firstLine="540"/>
        <w:jc w:val="both"/>
      </w:pPr>
      <w:r>
        <w:t>5. Формирование перечня всех многоквартирных домов с учетом данных о техническом состоянии многоквартирных домов на территории муниципального обр</w:t>
      </w:r>
      <w:r>
        <w:t xml:space="preserve">азования осуществляется на основании сведений, представленных органами местного самоуправления министерству, в порядке, предусмотренном </w:t>
      </w:r>
      <w:hyperlink r:id="rId16" w:tooltip="Закон Красноярского края от 27.06.2013 N 4-1451 &quot;Об организации проведения капитального ремонта общего имущества в многоквартирных домах, расположенных на территории Красноярского края&quot; (подписан Губернатором Красноярского края 11.07.2013){КонсультантПлюс}" w:history="1">
        <w:r>
          <w:rPr>
            <w:color w:val="0000FF"/>
          </w:rPr>
          <w:t>статьей 11</w:t>
        </w:r>
      </w:hyperlink>
      <w:r>
        <w:t xml:space="preserve"> Закона края.</w:t>
      </w:r>
    </w:p>
    <w:p w:rsidR="00000000" w:rsidRDefault="00865A26">
      <w:pPr>
        <w:pStyle w:val="ConsPlusNormal"/>
        <w:ind w:firstLine="540"/>
        <w:jc w:val="both"/>
      </w:pPr>
      <w:bookmarkStart w:id="5" w:name="Par49"/>
      <w:bookmarkEnd w:id="5"/>
      <w:r>
        <w:t>6. Распределение многоквартирных домов в муниципальном образовании осуществляется на четыре блока:</w:t>
      </w:r>
    </w:p>
    <w:p w:rsidR="00000000" w:rsidRDefault="00865A26">
      <w:pPr>
        <w:pStyle w:val="ConsPlusNormal"/>
        <w:ind w:firstLine="540"/>
        <w:jc w:val="both"/>
      </w:pPr>
      <w:r>
        <w:t>6.1. В первый блок включаются многоквартирные дома, в которых проведение капитального ремонта общего имущества требовалось на дату приватизации первого жилого помещения, при условии, что такой капитальный ремонт не проведен по состоянию на 01.11.2013 или н</w:t>
      </w:r>
      <w:r>
        <w:t>а дату актуализации региональной программы.</w:t>
      </w:r>
    </w:p>
    <w:p w:rsidR="00000000" w:rsidRDefault="00865A26">
      <w:pPr>
        <w:pStyle w:val="ConsPlusNormal"/>
        <w:ind w:firstLine="540"/>
        <w:jc w:val="both"/>
      </w:pPr>
      <w:r>
        <w:t>6.2. Во второй блок включаются многоквартирные дома, в которых проведение капитального ремонта общего имущества требуется на дату формирования (актуализации) региональной программы, при условии, что такой капитал</w:t>
      </w:r>
      <w:r>
        <w:t>ьный ремонт не проведен по состоянию на 01.11.2013 или на дату актуализации региональной программы.</w:t>
      </w:r>
    </w:p>
    <w:p w:rsidR="00000000" w:rsidRDefault="00865A26">
      <w:pPr>
        <w:pStyle w:val="ConsPlusNormal"/>
        <w:ind w:firstLine="540"/>
        <w:jc w:val="both"/>
      </w:pPr>
      <w:r>
        <w:t>6.3. В четвертый блок включаются многоквартирные дома, в отношении которых проведение комплексного капитального ремонта нецелесообразно по причине высокой с</w:t>
      </w:r>
      <w:r>
        <w:t>тепени физического износа. К таким многоквартирным домам относятся многоквартирные дома, физический износ конструктивных элементов (крыша, стены, фундамент) которых превышает семьдесят процентов.</w:t>
      </w:r>
    </w:p>
    <w:p w:rsidR="00000000" w:rsidRDefault="00865A26">
      <w:pPr>
        <w:pStyle w:val="ConsPlusNormal"/>
        <w:ind w:firstLine="540"/>
        <w:jc w:val="both"/>
      </w:pPr>
      <w:r>
        <w:t>6.4. Третий блок формируется из многоквартирных домов, не во</w:t>
      </w:r>
      <w:r>
        <w:t>шедших в первый, второй и четвертый блоки.</w:t>
      </w:r>
    </w:p>
    <w:p w:rsidR="00000000" w:rsidRDefault="00865A26">
      <w:pPr>
        <w:pStyle w:val="ConsPlusNormal"/>
        <w:ind w:firstLine="540"/>
        <w:jc w:val="both"/>
      </w:pPr>
      <w:r>
        <w:t xml:space="preserve">7. После распределения многоквартирных домов по блокам министерством производится оценка критериев, указанных в </w:t>
      </w:r>
      <w:hyperlink w:anchor="Par41" w:tooltip="Ссылка на текущий документ" w:history="1">
        <w:r>
          <w:rPr>
            <w:color w:val="0000FF"/>
          </w:rPr>
          <w:t>пункте 3</w:t>
        </w:r>
      </w:hyperlink>
      <w:r>
        <w:t xml:space="preserve"> Методики, в отношении каждого конструктивного элемента многоквартирного дома и внутридомовой инженерной системы в отдельности в пределах каждого блока домов в соответствии с </w:t>
      </w:r>
      <w:hyperlink w:anchor="Par767" w:tooltip="Ссылка на текущий документ" w:history="1">
        <w:r>
          <w:rPr>
            <w:color w:val="0000FF"/>
          </w:rPr>
          <w:t>системой</w:t>
        </w:r>
      </w:hyperlink>
      <w:r>
        <w:t xml:space="preserve"> баллов для оценки</w:t>
      </w:r>
      <w:r>
        <w:t xml:space="preserve"> критериев очередности проведения капитального ремонта общего имущества в многоквартирных домах согласно приложению N 2 к настоящей Методике.</w:t>
      </w:r>
    </w:p>
    <w:p w:rsidR="00000000" w:rsidRDefault="00865A26">
      <w:pPr>
        <w:pStyle w:val="ConsPlusNormal"/>
        <w:ind w:firstLine="540"/>
        <w:jc w:val="both"/>
      </w:pPr>
      <w:r>
        <w:t xml:space="preserve">7.1. Количество баллов, набранных в многоквартирном доме отдельным конструктивным элементом многоквартирного дома </w:t>
      </w:r>
      <w:r>
        <w:t>и внутридомовой инженерной системой по каждому критерию, определяется путем умножения соответствующего количества баллов на коэффициент весомости.</w:t>
      </w:r>
    </w:p>
    <w:p w:rsidR="00000000" w:rsidRDefault="00865A26">
      <w:pPr>
        <w:pStyle w:val="ConsPlusNormal"/>
        <w:ind w:firstLine="540"/>
        <w:jc w:val="both"/>
      </w:pPr>
      <w:r>
        <w:lastRenderedPageBreak/>
        <w:t>7.2. В случае равенства суммы баллов, рассчитанной для многоквартирного дома, определение преимущества при фо</w:t>
      </w:r>
      <w:r>
        <w:t>рмировании очередности проведения капитального ремонта общего имущества в многоквартирном доме отдается тому многоквартирному дому, в котором физический износ конструктивных элементов многоквартирного дома или внутридомовых инженерных систем выше.</w:t>
      </w:r>
    </w:p>
    <w:p w:rsidR="00000000" w:rsidRDefault="00865A26">
      <w:pPr>
        <w:pStyle w:val="ConsPlusNormal"/>
        <w:ind w:firstLine="540"/>
        <w:jc w:val="both"/>
      </w:pPr>
      <w:r>
        <w:t>8. Преде</w:t>
      </w:r>
      <w:r>
        <w:t>льный лимит фонда капитального ремонта в муниципальном образовании, обеспечивающий финансирование капитального ремонта общего имущества многоквартирных домов, рассчитывается исходя из общей площади помещений многоквартирных домов в муниципальном образовани</w:t>
      </w:r>
      <w:r>
        <w:t>и и минимального размера взноса, установленного Правительством Красноярского края, по следующим формулам:</w:t>
      </w:r>
    </w:p>
    <w:p w:rsidR="00000000" w:rsidRDefault="00865A26">
      <w:pPr>
        <w:pStyle w:val="ConsPlusNormal"/>
        <w:ind w:firstLine="540"/>
        <w:jc w:val="both"/>
      </w:pPr>
    </w:p>
    <w:p w:rsidR="00000000" w:rsidRDefault="00694065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73177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65A26">
      <w:pPr>
        <w:pStyle w:val="ConsPlusNormal"/>
        <w:ind w:firstLine="540"/>
        <w:jc w:val="both"/>
      </w:pPr>
    </w:p>
    <w:p w:rsidR="00000000" w:rsidRDefault="00694065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579370" cy="4279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65A26">
      <w:pPr>
        <w:pStyle w:val="ConsPlusNormal"/>
        <w:ind w:firstLine="540"/>
        <w:jc w:val="both"/>
      </w:pPr>
    </w:p>
    <w:p w:rsidR="00000000" w:rsidRDefault="00694065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2936875" cy="4279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65A26">
      <w:pPr>
        <w:pStyle w:val="ConsPlusNormal"/>
        <w:ind w:firstLine="540"/>
        <w:jc w:val="both"/>
      </w:pPr>
    </w:p>
    <w:p w:rsidR="00000000" w:rsidRDefault="00694065">
      <w:pPr>
        <w:pStyle w:val="ConsPlusNormal"/>
        <w:ind w:firstLine="540"/>
        <w:jc w:val="both"/>
      </w:pPr>
      <w:r>
        <w:rPr>
          <w:noProof/>
        </w:rPr>
        <w:drawing>
          <wp:inline distT="0" distB="0" distL="0" distR="0">
            <wp:extent cx="3933190" cy="4279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65A26">
      <w:pPr>
        <w:pStyle w:val="ConsPlusNormal"/>
        <w:ind w:firstLine="540"/>
        <w:jc w:val="both"/>
      </w:pPr>
    </w:p>
    <w:p w:rsidR="00000000" w:rsidRDefault="00865A26">
      <w:pPr>
        <w:pStyle w:val="ConsPlusNormal"/>
        <w:ind w:firstLine="540"/>
        <w:jc w:val="both"/>
      </w:pPr>
      <w:r>
        <w:t>где:</w:t>
      </w:r>
    </w:p>
    <w:p w:rsidR="00000000" w:rsidRDefault="00865A26">
      <w:pPr>
        <w:pStyle w:val="ConsPlusNormal"/>
        <w:ind w:firstLine="540"/>
        <w:jc w:val="both"/>
      </w:pPr>
      <w:r>
        <w:t>Фкр - планируемый объем фонда капитального ремонта муниципального образования за период реализации программы;</w:t>
      </w:r>
    </w:p>
    <w:p w:rsidR="00000000" w:rsidRDefault="00694065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50419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A26">
        <w:t xml:space="preserve"> - планируемый годовой объем фонда капитального ремонта муниципального образования в 2014 году;</w:t>
      </w:r>
    </w:p>
    <w:p w:rsidR="00000000" w:rsidRDefault="00694065">
      <w:pPr>
        <w:pStyle w:val="ConsPlusNormal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75057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A26">
        <w:t xml:space="preserve"> - планируемый годовой объем фонда капитального ремонта муниципального образования в 2015 году и последующие годы;</w:t>
      </w:r>
    </w:p>
    <w:p w:rsidR="00000000" w:rsidRDefault="00865A26">
      <w:pPr>
        <w:pStyle w:val="ConsPlusNormal"/>
        <w:ind w:firstLine="540"/>
        <w:jc w:val="both"/>
      </w:pPr>
      <w:r>
        <w:t>Bi - минимальный размер взноса на капитальный ремонт общего имущества в многоквартирном доме i-го типа (в случае</w:t>
      </w:r>
      <w:r>
        <w:t xml:space="preserve"> установления дифференцированного размера взноса), руб./м2;</w:t>
      </w:r>
    </w:p>
    <w:p w:rsidR="00000000" w:rsidRDefault="00865A26">
      <w:pPr>
        <w:pStyle w:val="ConsPlusNormal"/>
        <w:ind w:firstLine="540"/>
        <w:jc w:val="both"/>
      </w:pPr>
      <w:r>
        <w:t>Sжi - общая площадь помещений в многоквартирных домах i-го типа (в случае установления дифференцированного размера взноса), кв. м;</w:t>
      </w:r>
    </w:p>
    <w:p w:rsidR="00000000" w:rsidRDefault="00865A26">
      <w:pPr>
        <w:pStyle w:val="ConsPlusNormal"/>
        <w:ind w:firstLine="540"/>
        <w:jc w:val="both"/>
      </w:pPr>
      <w:r>
        <w:t>n - число многоквартирных домов в муниципальном образовании, по к</w:t>
      </w:r>
      <w:r>
        <w:t>оторым осуществляется дифференциация минимального размера взноса на капитальный ремонт;</w:t>
      </w:r>
    </w:p>
    <w:p w:rsidR="00000000" w:rsidRDefault="00865A26">
      <w:pPr>
        <w:pStyle w:val="ConsPlusNormal"/>
        <w:ind w:firstLine="540"/>
        <w:jc w:val="both"/>
      </w:pPr>
      <w:r>
        <w:t>7 (12) - количество месяцев в году (в 2014 году не более 7, в последующие годы 12 месяцев);</w:t>
      </w:r>
    </w:p>
    <w:p w:rsidR="00000000" w:rsidRDefault="00694065">
      <w:pPr>
        <w:pStyle w:val="ConsPlusNormal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392430" cy="21717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A26">
        <w:t xml:space="preserve"> - коэффициент, предусмотренный </w:t>
      </w:r>
      <w:hyperlink r:id="rId24" w:tooltip="Закон Красноярского края от 27.06.2013 N 4-1451 &quot;Об организации проведения капитального ремонта общего имущества в многоквартирных домах, расположенных на территории Красноярского края&quot; (подписан Губернатором Красноярского края 11.07.2013){КонсультантПлюс}" w:history="1">
        <w:r w:rsidR="00865A26">
          <w:rPr>
            <w:color w:val="0000FF"/>
          </w:rPr>
          <w:t>статьями 26</w:t>
        </w:r>
      </w:hyperlink>
      <w:r w:rsidR="00865A26">
        <w:t xml:space="preserve"> и </w:t>
      </w:r>
      <w:hyperlink r:id="rId25" w:tooltip="Закон Красноярского края от 27.06.2013 N 4-1451 &quot;Об организации проведения капитального ремонта общего имущества в многоквартирных домах, расположенных на территории Красноярского края&quot; (подписан Губернатором Красноярского края 11.07.2013){КонсультантПлюс}" w:history="1">
        <w:r w:rsidR="00865A26">
          <w:rPr>
            <w:color w:val="0000FF"/>
          </w:rPr>
          <w:t>30</w:t>
        </w:r>
      </w:hyperlink>
      <w:r w:rsidR="00865A26">
        <w:t xml:space="preserve"> Закона края (</w:t>
      </w:r>
      <w:r>
        <w:rPr>
          <w:noProof/>
          <w:position w:val="-7"/>
        </w:rPr>
        <w:drawing>
          <wp:inline distT="0" distB="0" distL="0" distR="0">
            <wp:extent cx="293370" cy="2171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A26">
        <w:t xml:space="preserve"> - 0,5, </w:t>
      </w:r>
      <w:r>
        <w:rPr>
          <w:noProof/>
          <w:position w:val="-7"/>
        </w:rPr>
        <w:drawing>
          <wp:inline distT="0" distB="0" distL="0" distR="0">
            <wp:extent cx="304800" cy="2171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A26">
        <w:t xml:space="preserve"> - 0,9). Начиная с 2041 года коэффициент не применяется;</w:t>
      </w:r>
    </w:p>
    <w:p w:rsidR="00000000" w:rsidRDefault="00865A26">
      <w:pPr>
        <w:pStyle w:val="ConsPlusNormal"/>
        <w:ind w:firstLine="540"/>
        <w:jc w:val="both"/>
      </w:pPr>
      <w:r>
        <w:t>Кс - коэффициент сбора платежа. На период с 2014 года по 2018 год коэф</w:t>
      </w:r>
      <w:r>
        <w:t>фициент сбора устанавливается равным 0,8. Начиная с 2019 года применяется коэффициент 0,9.</w:t>
      </w:r>
    </w:p>
    <w:p w:rsidR="00000000" w:rsidRDefault="00865A26">
      <w:pPr>
        <w:pStyle w:val="ConsPlusNormal"/>
        <w:ind w:firstLine="540"/>
        <w:jc w:val="both"/>
      </w:pPr>
      <w:r>
        <w:t>9. Формирование реестра многоквартирных домов, подлежащих включению в региональную программу с указанием года проведения капитального ремонта, осуществляется с учето</w:t>
      </w:r>
      <w:r>
        <w:t>м следующих условий:</w:t>
      </w:r>
    </w:p>
    <w:p w:rsidR="00000000" w:rsidRDefault="00865A26">
      <w:pPr>
        <w:pStyle w:val="ConsPlusNormal"/>
        <w:ind w:firstLine="540"/>
        <w:jc w:val="both"/>
      </w:pPr>
      <w:r>
        <w:t>перечень многоквартирных домов по годам проведения капитального ремонта формируется в пределах годового объема фонда капитального ремонта, формируемого за счет взносов на капитальный ремонт общего имущества;</w:t>
      </w:r>
    </w:p>
    <w:p w:rsidR="00000000" w:rsidRDefault="00865A26">
      <w:pPr>
        <w:pStyle w:val="ConsPlusNormal"/>
        <w:ind w:firstLine="540"/>
        <w:jc w:val="both"/>
      </w:pPr>
      <w:r>
        <w:t xml:space="preserve">дома, включенные в третий блок, формируются в реестре по годам путем прибавления к году ввода в эксплуатацию многоквартирного дома по каждому виду работ количества лет, установленных "ВСН 58-88 (р). </w:t>
      </w:r>
      <w:hyperlink r:id="rId28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&quot; (вместе с &quot;ВСН 58-88 (р). Ведомственные строительные нормы. 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&quot;){КонсультантПлюс}" w:history="1">
        <w:r>
          <w:rPr>
            <w:color w:val="0000FF"/>
          </w:rPr>
          <w:t>Положение</w:t>
        </w:r>
      </w:hyperlink>
      <w:r>
        <w:t xml:space="preserve"> об организации и проведении реконструкции, ремонта и технического обслуживания зданий, объектов коммунального и социально-культурного назначения", утвержденными Прик</w:t>
      </w:r>
      <w:r>
        <w:t xml:space="preserve">азом Госкомархитектуры при Госстрое СССР от 23.11.1988 N 312, в качестве нормативных для постановки на </w:t>
      </w:r>
      <w:r>
        <w:lastRenderedPageBreak/>
        <w:t>капитальный ремонт того или конструктивного элемента многоквартирного дома или внутридомовой инженерной системы.</w:t>
      </w:r>
    </w:p>
    <w:p w:rsidR="00000000" w:rsidRDefault="00865A26">
      <w:pPr>
        <w:pStyle w:val="ConsPlusNormal"/>
        <w:ind w:firstLine="540"/>
        <w:jc w:val="both"/>
      </w:pPr>
      <w:r>
        <w:t>10. Дома, включенные в четвертый блок, ф</w:t>
      </w:r>
      <w:r>
        <w:t>ормируются в реестре по годам с учетом обеспечения эффективности капитального ремонта общего имущества в многоквартирных домах, которая должна определяться сопоставлением получаемых экономических и социальных результатов с затратами, необходимыми для их до</w:t>
      </w:r>
      <w:r>
        <w:t>стижения.</w:t>
      </w:r>
    </w:p>
    <w:p w:rsidR="00000000" w:rsidRDefault="00865A26">
      <w:pPr>
        <w:pStyle w:val="ConsPlusNormal"/>
        <w:ind w:firstLine="540"/>
        <w:jc w:val="both"/>
      </w:pPr>
      <w:r>
        <w:t>11. В качестве приоритетных видов работ определяются работы по технической необходимости с учетом уровня износа каждого конструктивного элемента многоквартирного дома и внутридомовой инженерной системы, межремонтного срока эксплуатации и возможно</w:t>
      </w:r>
      <w:r>
        <w:t>сти его продления (посредством выполнения работ текущего характера), а также аварийноемкости каждого конструктивного элемента многоквартирного дома (и внутридомовой инженерной системы (возможности безопасного продолжения эксплуатации без проведения капитал</w:t>
      </w:r>
      <w:r>
        <w:t>ьного ремонта).</w:t>
      </w:r>
    </w:p>
    <w:p w:rsidR="00000000" w:rsidRDefault="00865A26">
      <w:pPr>
        <w:pStyle w:val="ConsPlusNormal"/>
        <w:ind w:firstLine="540"/>
        <w:jc w:val="both"/>
      </w:pPr>
      <w:r>
        <w:t>12. Применение критериев очередности проведения капитального ремонта общего имущества в многоквартирных домах при актуализации региональной программы осуществляется в порядке, установленном для применения критериев очередности проведения ка</w:t>
      </w:r>
      <w:r>
        <w:t>питального ремонта общего имущества в многоквартирных домах при формировании региональной программы.</w:t>
      </w:r>
    </w:p>
    <w:p w:rsidR="00000000" w:rsidRDefault="00865A26">
      <w:pPr>
        <w:pStyle w:val="ConsPlusNormal"/>
        <w:ind w:firstLine="540"/>
        <w:jc w:val="both"/>
      </w:pPr>
    </w:p>
    <w:p w:rsidR="00000000" w:rsidRDefault="00865A26">
      <w:pPr>
        <w:pStyle w:val="ConsPlusNormal"/>
        <w:ind w:firstLine="540"/>
        <w:jc w:val="both"/>
      </w:pPr>
    </w:p>
    <w:p w:rsidR="00000000" w:rsidRDefault="00865A26">
      <w:pPr>
        <w:pStyle w:val="ConsPlusNormal"/>
        <w:ind w:firstLine="540"/>
        <w:jc w:val="both"/>
      </w:pPr>
    </w:p>
    <w:p w:rsidR="00000000" w:rsidRDefault="00865A26">
      <w:pPr>
        <w:pStyle w:val="ConsPlusNormal"/>
        <w:ind w:firstLine="540"/>
        <w:jc w:val="both"/>
      </w:pPr>
    </w:p>
    <w:p w:rsidR="00000000" w:rsidRDefault="00865A26">
      <w:pPr>
        <w:pStyle w:val="ConsPlusNormal"/>
        <w:ind w:firstLine="540"/>
        <w:jc w:val="both"/>
      </w:pPr>
    </w:p>
    <w:p w:rsidR="00000000" w:rsidRDefault="00865A26">
      <w:pPr>
        <w:pStyle w:val="ConsPlusNormal"/>
        <w:jc w:val="right"/>
        <w:outlineLvl w:val="1"/>
      </w:pPr>
      <w:bookmarkStart w:id="6" w:name="Par88"/>
      <w:bookmarkEnd w:id="6"/>
      <w:r>
        <w:t>Приложение N 1</w:t>
      </w:r>
    </w:p>
    <w:p w:rsidR="00000000" w:rsidRDefault="00865A26">
      <w:pPr>
        <w:pStyle w:val="ConsPlusNormal"/>
        <w:jc w:val="right"/>
      </w:pPr>
      <w:r>
        <w:t>к Методике</w:t>
      </w:r>
    </w:p>
    <w:p w:rsidR="00000000" w:rsidRDefault="00865A26">
      <w:pPr>
        <w:pStyle w:val="ConsPlusNormal"/>
        <w:jc w:val="right"/>
      </w:pPr>
      <w:r>
        <w:t>применения критериев очередности</w:t>
      </w:r>
    </w:p>
    <w:p w:rsidR="00000000" w:rsidRDefault="00865A26">
      <w:pPr>
        <w:pStyle w:val="ConsPlusNormal"/>
        <w:jc w:val="right"/>
      </w:pPr>
      <w:r>
        <w:t>проведения капитального ремонта</w:t>
      </w:r>
    </w:p>
    <w:p w:rsidR="00000000" w:rsidRDefault="00865A26">
      <w:pPr>
        <w:pStyle w:val="ConsPlusNormal"/>
        <w:jc w:val="right"/>
      </w:pPr>
      <w:r>
        <w:t>общего имущества в многоквартирных</w:t>
      </w:r>
    </w:p>
    <w:p w:rsidR="00000000" w:rsidRDefault="00865A26">
      <w:pPr>
        <w:pStyle w:val="ConsPlusNormal"/>
        <w:jc w:val="right"/>
      </w:pPr>
      <w:r>
        <w:t xml:space="preserve">домах в целях </w:t>
      </w:r>
      <w:r>
        <w:t>формирования</w:t>
      </w:r>
    </w:p>
    <w:p w:rsidR="00000000" w:rsidRDefault="00865A26">
      <w:pPr>
        <w:pStyle w:val="ConsPlusNormal"/>
        <w:jc w:val="right"/>
      </w:pPr>
      <w:r>
        <w:t>и актуализации региональной программы</w:t>
      </w:r>
    </w:p>
    <w:p w:rsidR="00000000" w:rsidRDefault="00865A26">
      <w:pPr>
        <w:pStyle w:val="ConsPlusNormal"/>
        <w:jc w:val="right"/>
      </w:pPr>
      <w:r>
        <w:t>капитального ремонта общего</w:t>
      </w:r>
    </w:p>
    <w:p w:rsidR="00000000" w:rsidRDefault="00865A26">
      <w:pPr>
        <w:pStyle w:val="ConsPlusNormal"/>
        <w:jc w:val="right"/>
      </w:pPr>
      <w:r>
        <w:t>имущества в многоквартирных домах</w:t>
      </w:r>
    </w:p>
    <w:p w:rsidR="00000000" w:rsidRDefault="00865A26">
      <w:pPr>
        <w:pStyle w:val="ConsPlusNormal"/>
        <w:jc w:val="right"/>
      </w:pPr>
    </w:p>
    <w:p w:rsidR="00000000" w:rsidRDefault="00865A26">
      <w:pPr>
        <w:pStyle w:val="ConsPlusNormal"/>
        <w:jc w:val="center"/>
      </w:pPr>
      <w:bookmarkStart w:id="7" w:name="Par98"/>
      <w:bookmarkEnd w:id="7"/>
      <w:r>
        <w:t>РЕЕСТР МНОГОКВАРТИРНЫХ ДОМОВ, ПОДЛЕЖАЩИХ ВКЛЮЧЕНИЮ</w:t>
      </w:r>
    </w:p>
    <w:p w:rsidR="00000000" w:rsidRDefault="00865A26">
      <w:pPr>
        <w:pStyle w:val="ConsPlusNormal"/>
        <w:jc w:val="center"/>
      </w:pPr>
      <w:r>
        <w:t>В РЕГИОНАЛЬНУЮ ПРОГРАММУ С УКАЗАНИЕМ ГОДА ПРОВЕДЕНИЯ</w:t>
      </w:r>
    </w:p>
    <w:p w:rsidR="00000000" w:rsidRDefault="00865A26">
      <w:pPr>
        <w:pStyle w:val="ConsPlusNormal"/>
        <w:jc w:val="center"/>
      </w:pPr>
      <w:r>
        <w:t xml:space="preserve">КАПИТАЛЬНОГО РЕМОНТА ОБЩЕГО </w:t>
      </w:r>
      <w:r>
        <w:t>ИМУЩЕСТВА</w:t>
      </w:r>
    </w:p>
    <w:p w:rsidR="00000000" w:rsidRDefault="00865A26">
      <w:pPr>
        <w:pStyle w:val="ConsPlusNormal"/>
        <w:jc w:val="center"/>
      </w:pPr>
      <w:r>
        <w:t>В МНОГОКВАРТИРНЫХ ДОМАХ</w:t>
      </w:r>
    </w:p>
    <w:p w:rsidR="00000000" w:rsidRDefault="00865A26">
      <w:pPr>
        <w:pStyle w:val="ConsPlusNormal"/>
        <w:jc w:val="center"/>
        <w:sectPr w:rsidR="00000000">
          <w:headerReference w:type="default" r:id="rId29"/>
          <w:footerReference w:type="default" r:id="rId3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65A2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2724"/>
        <w:gridCol w:w="2438"/>
        <w:gridCol w:w="1474"/>
        <w:gridCol w:w="680"/>
        <w:gridCol w:w="794"/>
        <w:gridCol w:w="825"/>
        <w:gridCol w:w="794"/>
        <w:gridCol w:w="660"/>
        <w:gridCol w:w="624"/>
        <w:gridCol w:w="660"/>
        <w:gridCol w:w="794"/>
        <w:gridCol w:w="825"/>
        <w:gridCol w:w="624"/>
        <w:gridCol w:w="660"/>
        <w:gridCol w:w="2041"/>
        <w:gridCol w:w="2494"/>
        <w:gridCol w:w="2551"/>
        <w:gridCol w:w="1417"/>
      </w:tblGrid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Адрес многоквартирного дома</w:t>
            </w:r>
          </w:p>
        </w:tc>
        <w:tc>
          <w:tcPr>
            <w:tcW w:w="189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Плановый год проведения капитального ремонта по видам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Иные сведения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ind w:firstLine="540"/>
              <w:jc w:val="both"/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утепление и ремонт фасада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ремонт внутридомовых инженерных систем электро- (ЭЭ), тепло- (ТЭ), газо- (ГС), водоснабжения (ХВС; ГВС), водоотвед</w:t>
            </w:r>
            <w:r>
              <w:t>ения (ВО)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установка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</w:t>
            </w:r>
            <w:r>
              <w:t>ергии, газа)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ремонт фундамента многоквартирного дома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ind w:firstLine="540"/>
              <w:jc w:val="both"/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ind w:firstLine="540"/>
              <w:jc w:val="both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ind w:firstLine="540"/>
              <w:jc w:val="both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ТЭ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ГВС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ХВС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ЭЭ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ГС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ТЭ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ГВС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ХВС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ЭЭ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ГС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outlineLvl w:val="2"/>
            </w:pPr>
            <w:bookmarkStart w:id="8" w:name="Par164"/>
            <w:bookmarkEnd w:id="8"/>
            <w:r>
              <w:t>город Ачинск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Группа 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Ул. Кирова, д. 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2014; 2034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2014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2017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..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2031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Группа 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2015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..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Группа 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..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Группа 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outlineLvl w:val="2"/>
            </w:pPr>
            <w:bookmarkStart w:id="9" w:name="Par468"/>
            <w:bookmarkEnd w:id="9"/>
            <w:r>
              <w:t>Ачинский район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Группа 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Преображенский с/с, с. Большая Салырь, ул. Клубничная, д. 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2014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..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lastRenderedPageBreak/>
              <w:t>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Группа 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..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Группа 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..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Группа 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</w:tbl>
    <w:p w:rsidR="00000000" w:rsidRDefault="00865A26">
      <w:pPr>
        <w:pStyle w:val="ConsPlusNormal"/>
        <w:jc w:val="right"/>
      </w:pPr>
    </w:p>
    <w:p w:rsidR="00000000" w:rsidRDefault="00865A26">
      <w:pPr>
        <w:pStyle w:val="ConsPlusNormal"/>
        <w:jc w:val="right"/>
      </w:pPr>
    </w:p>
    <w:p w:rsidR="00000000" w:rsidRDefault="00865A26">
      <w:pPr>
        <w:pStyle w:val="ConsPlusNormal"/>
        <w:jc w:val="right"/>
      </w:pPr>
    </w:p>
    <w:p w:rsidR="00000000" w:rsidRDefault="00865A26">
      <w:pPr>
        <w:pStyle w:val="ConsPlusNormal"/>
        <w:jc w:val="right"/>
      </w:pPr>
    </w:p>
    <w:p w:rsidR="00000000" w:rsidRDefault="00865A26">
      <w:pPr>
        <w:pStyle w:val="ConsPlusNormal"/>
        <w:jc w:val="right"/>
      </w:pPr>
    </w:p>
    <w:p w:rsidR="00000000" w:rsidRDefault="00865A26">
      <w:pPr>
        <w:pStyle w:val="ConsPlusNormal"/>
        <w:jc w:val="right"/>
        <w:outlineLvl w:val="1"/>
      </w:pPr>
      <w:bookmarkStart w:id="10" w:name="Par757"/>
      <w:bookmarkEnd w:id="10"/>
      <w:r>
        <w:t>Приложение N 2</w:t>
      </w:r>
    </w:p>
    <w:p w:rsidR="00000000" w:rsidRDefault="00865A26">
      <w:pPr>
        <w:pStyle w:val="ConsPlusNormal"/>
        <w:jc w:val="right"/>
      </w:pPr>
      <w:r>
        <w:t>к Методике</w:t>
      </w:r>
    </w:p>
    <w:p w:rsidR="00000000" w:rsidRDefault="00865A26">
      <w:pPr>
        <w:pStyle w:val="ConsPlusNormal"/>
        <w:jc w:val="right"/>
      </w:pPr>
      <w:r>
        <w:t>применения критериев очередности</w:t>
      </w:r>
    </w:p>
    <w:p w:rsidR="00000000" w:rsidRDefault="00865A26">
      <w:pPr>
        <w:pStyle w:val="ConsPlusNormal"/>
        <w:jc w:val="right"/>
      </w:pPr>
      <w:r>
        <w:t>проведения капитального ремонта</w:t>
      </w:r>
    </w:p>
    <w:p w:rsidR="00000000" w:rsidRDefault="00865A26">
      <w:pPr>
        <w:pStyle w:val="ConsPlusNormal"/>
        <w:jc w:val="right"/>
      </w:pPr>
      <w:r>
        <w:t>общего имущества в многоквартирных</w:t>
      </w:r>
    </w:p>
    <w:p w:rsidR="00000000" w:rsidRDefault="00865A26">
      <w:pPr>
        <w:pStyle w:val="ConsPlusNormal"/>
        <w:jc w:val="right"/>
      </w:pPr>
      <w:r>
        <w:t>домах в целях формирования</w:t>
      </w:r>
    </w:p>
    <w:p w:rsidR="00000000" w:rsidRDefault="00865A26">
      <w:pPr>
        <w:pStyle w:val="ConsPlusNormal"/>
        <w:jc w:val="right"/>
      </w:pPr>
      <w:r>
        <w:t>и актуализации региональной программы</w:t>
      </w:r>
    </w:p>
    <w:p w:rsidR="00000000" w:rsidRDefault="00865A26">
      <w:pPr>
        <w:pStyle w:val="ConsPlusNormal"/>
        <w:jc w:val="right"/>
      </w:pPr>
      <w:r>
        <w:t>капитального ремонта общего</w:t>
      </w:r>
    </w:p>
    <w:p w:rsidR="00000000" w:rsidRDefault="00865A26">
      <w:pPr>
        <w:pStyle w:val="ConsPlusNormal"/>
        <w:jc w:val="right"/>
      </w:pPr>
      <w:r>
        <w:t>имущества в многоквартирных домах</w:t>
      </w:r>
    </w:p>
    <w:p w:rsidR="00000000" w:rsidRDefault="00865A26">
      <w:pPr>
        <w:pStyle w:val="ConsPlusNormal"/>
        <w:ind w:firstLine="540"/>
        <w:jc w:val="both"/>
      </w:pPr>
    </w:p>
    <w:p w:rsidR="00000000" w:rsidRDefault="00865A26">
      <w:pPr>
        <w:pStyle w:val="ConsPlusNormal"/>
        <w:jc w:val="center"/>
      </w:pPr>
      <w:bookmarkStart w:id="11" w:name="Par767"/>
      <w:bookmarkEnd w:id="11"/>
      <w:r>
        <w:t>СИСТЕМА БАЛЛОВ ДЛЯ ОЦЕНКИ КРИТЕРИЕВ ОЧЕРЕДНОСТИ</w:t>
      </w:r>
    </w:p>
    <w:p w:rsidR="00000000" w:rsidRDefault="00865A26">
      <w:pPr>
        <w:pStyle w:val="ConsPlusNormal"/>
        <w:jc w:val="center"/>
      </w:pPr>
      <w:r>
        <w:t>ПРОВЕДЕНИЯ КАПИТАЛЬНОГО РЕМОНТА ОБЩЕГО</w:t>
      </w:r>
    </w:p>
    <w:p w:rsidR="00000000" w:rsidRDefault="00865A26">
      <w:pPr>
        <w:pStyle w:val="ConsPlusNormal"/>
        <w:jc w:val="center"/>
      </w:pPr>
      <w:r>
        <w:t>ИМУЩЕСТВА В МНОГОКВАРТИРНЫХ ДОМАХ</w:t>
      </w:r>
    </w:p>
    <w:p w:rsidR="00000000" w:rsidRDefault="00865A26">
      <w:pPr>
        <w:pStyle w:val="ConsPlusNormal"/>
        <w:jc w:val="center"/>
        <w:sectPr w:rsidR="00000000">
          <w:headerReference w:type="default" r:id="rId31"/>
          <w:footerReference w:type="default" r:id="rId3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65A26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5329"/>
        <w:gridCol w:w="1757"/>
        <w:gridCol w:w="1928"/>
      </w:tblGrid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Количество баллов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Коэффициент весомости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outlineLvl w:val="2"/>
            </w:pPr>
            <w:bookmarkStart w:id="12" w:name="Par779"/>
            <w:bookmarkEnd w:id="12"/>
            <w:r>
              <w:t>1. Год ввода в эксплуатацию многоквартирного дома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до 1964 года включительно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с 1965 по 1984 год включительно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с 1985 по 1994 год включительно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с 1995 по 2004 год включительно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с 2005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outlineLvl w:val="2"/>
            </w:pPr>
            <w:bookmarkStart w:id="13" w:name="Par792"/>
            <w:bookmarkEnd w:id="13"/>
            <w:r>
              <w:t>2. Дата последнего проведения капитального ремонта конструктивного элемента многоквартирного дома, внутридомовой инженерной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2.1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капитальный ремонт конструктивного элемента многоквартирного дома, внутридомовой инженерной системы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не проводился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проводился до 2007 года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проводился в 2008 - 2012 годах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проводился после 2013 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2.2</w:t>
            </w: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физический износ конструктивного элемента многоквартирного дома и внутридомовой инженерной системы, с учетом проведенного капитального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свыше 60%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от 41% до 60%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от 21% до 40%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до 20%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outlineLvl w:val="2"/>
            </w:pPr>
            <w:bookmarkStart w:id="14" w:name="Par816"/>
            <w:bookmarkEnd w:id="14"/>
            <w:r>
              <w:t>3. Степень готовности многоквартирного дома к капитальному ремонту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3.1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наличие проектной документации, включая смету расходов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3.2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наличие только укрупненной предварительной сметы расходов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outlineLvl w:val="2"/>
            </w:pPr>
            <w:bookmarkStart w:id="15" w:name="Par825"/>
            <w:bookmarkEnd w:id="15"/>
            <w:r>
              <w:t>4. Полнота поступлений взносов на капитальный ремонт собственников помещений в многоквартирном доме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4.1</w:t>
            </w: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финансовая дисциплина собственников помещений в многоквартирном доме: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среднемесячный уровень сбора оплаты за жилищно-коммунальные услуги за 12 месяцев составляет более 95%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среднемесячный уровень сбора оплаты за жилищно-коммунальные услуги за 12 месяцев составляет более 90% и до 95%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среднемесячный уровень сбора оплаты за жилищно-коммунальные услуги за 12 месяцев составляет 90% и менее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outlineLvl w:val="2"/>
            </w:pPr>
            <w:bookmarkStart w:id="16" w:name="Par835"/>
            <w:bookmarkEnd w:id="16"/>
            <w:r>
              <w:t>5. Комплексность проведения капитального ремонта многоквартирного дома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5.1</w:t>
            </w: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 xml:space="preserve">потребность на дату формирования или актуализации программы </w:t>
            </w:r>
            <w:r>
              <w:t>в проведении капитального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одного элемента (внутридомовой инженерной системы)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от 2 до 3 элементов</w:t>
            </w:r>
          </w:p>
          <w:p w:rsidR="00000000" w:rsidRDefault="00865A26">
            <w:pPr>
              <w:pStyle w:val="ConsPlusNormal"/>
            </w:pPr>
            <w:r>
              <w:t>(внутридомовых инженерных систем)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</w:pPr>
            <w:r>
              <w:t>от 4 элементов (внутридомовых инженерных систем)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5A26">
            <w:pPr>
              <w:pStyle w:val="ConsPlusNormal"/>
              <w:jc w:val="center"/>
            </w:pPr>
          </w:p>
        </w:tc>
      </w:tr>
    </w:tbl>
    <w:p w:rsidR="00000000" w:rsidRDefault="00865A26">
      <w:pPr>
        <w:pStyle w:val="ConsPlusNormal"/>
        <w:ind w:firstLine="540"/>
        <w:jc w:val="both"/>
      </w:pPr>
    </w:p>
    <w:p w:rsidR="00000000" w:rsidRDefault="00865A26">
      <w:pPr>
        <w:pStyle w:val="ConsPlusNormal"/>
        <w:ind w:firstLine="540"/>
        <w:jc w:val="both"/>
      </w:pPr>
    </w:p>
    <w:p w:rsidR="00865A26" w:rsidRDefault="00865A2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865A26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A26" w:rsidRDefault="00865A26">
      <w:pPr>
        <w:spacing w:after="0" w:line="240" w:lineRule="auto"/>
      </w:pPr>
      <w:r>
        <w:separator/>
      </w:r>
    </w:p>
  </w:endnote>
  <w:endnote w:type="continuationSeparator" w:id="0">
    <w:p w:rsidR="00865A26" w:rsidRDefault="0086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65A2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9406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94065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9406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94065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65A2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65A2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9406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94065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9406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94065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65A2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65A2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9406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94065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9406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94065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65A2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A26" w:rsidRDefault="00865A26">
      <w:pPr>
        <w:spacing w:after="0" w:line="240" w:lineRule="auto"/>
      </w:pPr>
      <w:r>
        <w:separator/>
      </w:r>
    </w:p>
  </w:footnote>
  <w:footnote w:type="continuationSeparator" w:id="0">
    <w:p w:rsidR="00865A26" w:rsidRDefault="0086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20.12.2013 N 676-</w:t>
          </w:r>
          <w:r>
            <w:rPr>
              <w:rFonts w:ascii="Tahoma" w:hAnsi="Tahoma" w:cs="Tahoma"/>
              <w:sz w:val="16"/>
              <w:szCs w:val="16"/>
            </w:rPr>
            <w:t>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Методики применения критериев очередности проведения капитального ремонта общего имущества в многоквартирных домах в целях формирования и актуализации региональной программы капитального ремонта общего имущества в многоквартирных домах"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17.03.2014</w:t>
          </w:r>
        </w:p>
      </w:tc>
    </w:tr>
  </w:tbl>
  <w:p w:rsidR="00000000" w:rsidRDefault="00865A2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865A26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20.12.2013 N 676-п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Методики применения критериев очередности проведения капитального ремонта общего имущества в многоквартирных дом</w:t>
          </w:r>
          <w:r>
            <w:rPr>
              <w:rFonts w:ascii="Tahoma" w:hAnsi="Tahoma" w:cs="Tahoma"/>
              <w:sz w:val="16"/>
              <w:szCs w:val="16"/>
            </w:rPr>
            <w:t>ах в целях формирования и актуализации региональной программы капитального ремонта общего имущества в многоквартирных домах"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17.03.2014</w:t>
          </w:r>
        </w:p>
      </w:tc>
    </w:tr>
  </w:tbl>
  <w:p w:rsidR="00000000" w:rsidRDefault="00865A2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865A26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20.12.2013 N 676-п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Методики применения крит</w:t>
          </w:r>
          <w:r>
            <w:rPr>
              <w:rFonts w:ascii="Tahoma" w:hAnsi="Tahoma" w:cs="Tahoma"/>
              <w:sz w:val="16"/>
              <w:szCs w:val="16"/>
            </w:rPr>
            <w:t>ериев очередности проведения капитального ремонта общего имущества в многоквартирных домах в целях формирования и актуализации региональной программы капитального ремонта общего имущества в многоквартирных домах"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65A2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17.03.2014</w:t>
          </w:r>
        </w:p>
      </w:tc>
    </w:tr>
  </w:tbl>
  <w:p w:rsidR="00000000" w:rsidRDefault="00865A2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865A26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6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65"/>
    <w:rsid w:val="00694065"/>
    <w:rsid w:val="0086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F21540E2E71307640F4AD77A9BAD55860D811956C18F2A662CBC59F118y9yAK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21540E2E71307640F4AC9778DC10A890F8F415EC18D243270E302AC4F93A98B330AFBB91A4747DFC06488y4y2K" TargetMode="External"/><Relationship Id="rId17" Type="http://schemas.openxmlformats.org/officeDocument/2006/relationships/image" Target="media/image2.wmf"/><Relationship Id="rId25" Type="http://schemas.openxmlformats.org/officeDocument/2006/relationships/hyperlink" Target="consultantplus://offline/ref=F21540E2E71307640F4AC9778DC10A890F8F415EC18D243270E302AC4F93A98B330AFBB91A4747DFC06681y4y2K" TargetMode="External"/><Relationship Id="rId33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1540E2E71307640F4AC9778DC10A890F8F415EC18D243270E302AC4F93A98B330AFBB91A4747DFC06487y4y1K" TargetMode="External"/><Relationship Id="rId20" Type="http://schemas.openxmlformats.org/officeDocument/2006/relationships/image" Target="media/image5.wmf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1540E2E71307640F4AC9778DC10A890F8F415EC189283478E302AC4F93A98B330AFBB91A4747DFC06184y4y0K" TargetMode="External"/><Relationship Id="rId24" Type="http://schemas.openxmlformats.org/officeDocument/2006/relationships/hyperlink" Target="consultantplus://offline/ref=F21540E2E71307640F4AC9778DC10A890F8F415EC18D243270E302AC4F93A98B330AFBB91A4747DFC06589y4y5K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21540E2E71307640F4AC9778DC10A890F8F415EC18D243270E302AC4F93A98B330AFBB91A4747DFC06489y4y2K" TargetMode="External"/><Relationship Id="rId23" Type="http://schemas.openxmlformats.org/officeDocument/2006/relationships/image" Target="media/image8.wmf"/><Relationship Id="rId28" Type="http://schemas.openxmlformats.org/officeDocument/2006/relationships/hyperlink" Target="consultantplus://offline/ref=F21540E2E71307640F4AD77A9BAD558604811950CA80776C24E555F31F95FCCB730CAEFA5E4A47yDyB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21540E2E71307640F4AD77A9BAD55860D811956C18F2A662CBC59F118y9yAK" TargetMode="External"/><Relationship Id="rId19" Type="http://schemas.openxmlformats.org/officeDocument/2006/relationships/image" Target="media/image4.wmf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consultantplus://offline/ref=F21540E2E71307640F4AC9778DC10A890F8F415EC18D243270E302AC4F93A98B330AFBB91A4747DFC06488y4y1K" TargetMode="External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footer" Target="footer1.xm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2964</Words>
  <Characters>16896</Characters>
  <Application>Microsoft Office Word</Application>
  <DocSecurity>2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Красноярского края от 20.12.2013 N 676-п"Об утверждении Методики применения критериев очередности проведения капитального ремонта общего имущества в многоквартирных домах в целях формирования и актуализации региональной програм</vt:lpstr>
    </vt:vector>
  </TitlesOfParts>
  <Company>SPecialiST RePack</Company>
  <LinksUpToDate>false</LinksUpToDate>
  <CharactersWithSpaces>19821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20.12.2013 N 676-п"Об утверждении Методики применения критериев очередности проведения капитального ремонта общего имущества в многоквартирных домах в целях формирования и актуализации региональной програм</dc:title>
  <dc:creator>ConsultantPlus</dc:creator>
  <cp:lastModifiedBy>Третьяков</cp:lastModifiedBy>
  <cp:revision>2</cp:revision>
  <dcterms:created xsi:type="dcterms:W3CDTF">2014-03-19T02:15:00Z</dcterms:created>
  <dcterms:modified xsi:type="dcterms:W3CDTF">2014-03-19T02:15:00Z</dcterms:modified>
</cp:coreProperties>
</file>