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77" w:rsidRPr="00FB32F6" w:rsidRDefault="00083FCB" w:rsidP="00062477">
      <w:pPr>
        <w:pStyle w:val="a3"/>
        <w:ind w:left="-374" w:right="-374"/>
        <w:rPr>
          <w:color w:val="548DD4" w:themeColor="text2" w:themeTint="99"/>
        </w:rPr>
      </w:pPr>
      <w:r w:rsidRPr="00083FCB">
        <w:rPr>
          <w:color w:val="548DD4" w:themeColor="text2" w:themeTint="9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>
            <v:imagedata r:id="rId8" o:title="Герб настоящий 1"/>
          </v:shape>
        </w:pict>
      </w:r>
    </w:p>
    <w:p w:rsidR="002A4C3D" w:rsidRPr="00FB32F6" w:rsidRDefault="002A4C3D" w:rsidP="00062477">
      <w:pPr>
        <w:pStyle w:val="a3"/>
        <w:ind w:left="-374" w:right="-374"/>
        <w:rPr>
          <w:color w:val="548DD4" w:themeColor="text2" w:themeTint="99"/>
          <w:sz w:val="20"/>
          <w:szCs w:val="20"/>
        </w:rPr>
      </w:pPr>
    </w:p>
    <w:p w:rsidR="00062477" w:rsidRPr="00F1060A" w:rsidRDefault="00062477" w:rsidP="00062477">
      <w:pPr>
        <w:jc w:val="center"/>
        <w:rPr>
          <w:b/>
        </w:rPr>
      </w:pPr>
      <w:r w:rsidRPr="00F1060A">
        <w:rPr>
          <w:b/>
        </w:rPr>
        <w:t>РОССИЙСКАЯ ФЕДЕРАЦИЯ</w:t>
      </w:r>
    </w:p>
    <w:p w:rsidR="00062477" w:rsidRPr="00F1060A" w:rsidRDefault="00062477" w:rsidP="00062477">
      <w:pPr>
        <w:jc w:val="center"/>
      </w:pPr>
      <w:r w:rsidRPr="00F1060A">
        <w:t>КРАСНОЯРСКИЙ КРАЙ</w:t>
      </w:r>
    </w:p>
    <w:p w:rsidR="00062477" w:rsidRPr="00F1060A" w:rsidRDefault="00062477" w:rsidP="00062477">
      <w:pPr>
        <w:jc w:val="center"/>
      </w:pPr>
      <w:r w:rsidRPr="00F1060A">
        <w:t>ТАЙМЫРСКИЙ ДОЛГАНО-НЕНЕЦКИЙ МУНИЦИПАЛЬНЫЙ РАЙОН</w:t>
      </w:r>
    </w:p>
    <w:p w:rsidR="00012AC5" w:rsidRPr="00F1060A" w:rsidRDefault="00012AC5" w:rsidP="00062477">
      <w:pPr>
        <w:jc w:val="center"/>
        <w:rPr>
          <w:b/>
        </w:rPr>
      </w:pPr>
      <w:r w:rsidRPr="00F1060A">
        <w:rPr>
          <w:b/>
        </w:rPr>
        <w:t>АДМИНИСТРАЦИЯ СЕЛЬСКОГО ПОСЕЛЕНИЯ ХАТАНГА</w:t>
      </w:r>
    </w:p>
    <w:p w:rsidR="00012AC5" w:rsidRPr="00F1060A" w:rsidRDefault="00012AC5" w:rsidP="00062477">
      <w:pPr>
        <w:jc w:val="center"/>
        <w:rPr>
          <w:b/>
        </w:rPr>
      </w:pPr>
    </w:p>
    <w:p w:rsidR="00012AC5" w:rsidRPr="00F1060A" w:rsidRDefault="00012AC5" w:rsidP="00062477">
      <w:pPr>
        <w:jc w:val="center"/>
        <w:rPr>
          <w:b/>
        </w:rPr>
      </w:pPr>
    </w:p>
    <w:p w:rsidR="00062477" w:rsidRPr="00F1060A" w:rsidRDefault="00062477" w:rsidP="00012AC5">
      <w:pPr>
        <w:jc w:val="center"/>
      </w:pPr>
      <w:r w:rsidRPr="00F1060A">
        <w:rPr>
          <w:b/>
        </w:rPr>
        <w:t>ПОСТАНОВЛЕНИЕ</w:t>
      </w:r>
    </w:p>
    <w:p w:rsidR="00012AC5" w:rsidRPr="00F1060A" w:rsidRDefault="00012AC5" w:rsidP="00062477">
      <w:pPr>
        <w:jc w:val="center"/>
        <w:rPr>
          <w:b/>
        </w:rPr>
      </w:pPr>
    </w:p>
    <w:p w:rsidR="002A06C1" w:rsidRPr="00F1060A" w:rsidRDefault="004C0CC2" w:rsidP="002A06C1">
      <w:r>
        <w:t>18</w:t>
      </w:r>
      <w:r w:rsidR="006C4D0E" w:rsidRPr="00F1060A">
        <w:t>.10</w:t>
      </w:r>
      <w:r w:rsidR="00357E40" w:rsidRPr="00F1060A">
        <w:t>.2012</w:t>
      </w:r>
      <w:r w:rsidR="009A1333" w:rsidRPr="00F1060A">
        <w:t xml:space="preserve"> г.   </w:t>
      </w:r>
      <w:r w:rsidR="002A06C1" w:rsidRPr="00F1060A">
        <w:t xml:space="preserve">                                                                                         </w:t>
      </w:r>
      <w:r w:rsidR="005F453B" w:rsidRPr="00F1060A">
        <w:t xml:space="preserve">                         </w:t>
      </w:r>
      <w:r w:rsidR="002A06C1" w:rsidRPr="00F1060A">
        <w:t>№</w:t>
      </w:r>
      <w:r w:rsidR="004368AF" w:rsidRPr="00F1060A">
        <w:t xml:space="preserve"> </w:t>
      </w:r>
      <w:r>
        <w:t>149</w:t>
      </w:r>
      <w:r w:rsidR="002A06C1" w:rsidRPr="00F1060A">
        <w:t xml:space="preserve"> </w:t>
      </w:r>
      <w:r w:rsidR="00FD27C7" w:rsidRPr="00F1060A">
        <w:t>- П</w:t>
      </w:r>
    </w:p>
    <w:p w:rsidR="002A06C1" w:rsidRPr="00F1060A" w:rsidRDefault="002A06C1" w:rsidP="002A06C1"/>
    <w:p w:rsidR="00C22626" w:rsidRPr="00F1060A" w:rsidRDefault="004368AF" w:rsidP="00062477">
      <w:pPr>
        <w:rPr>
          <w:b/>
        </w:rPr>
      </w:pPr>
      <w:r w:rsidRPr="00F1060A">
        <w:rPr>
          <w:b/>
        </w:rPr>
        <w:t>Об утверждении Порядка</w:t>
      </w:r>
      <w:r w:rsidR="00C22626" w:rsidRPr="00F1060A">
        <w:rPr>
          <w:b/>
        </w:rPr>
        <w:t xml:space="preserve"> </w:t>
      </w:r>
    </w:p>
    <w:p w:rsidR="00C22626" w:rsidRPr="00F1060A" w:rsidRDefault="00C22626" w:rsidP="00062477">
      <w:pPr>
        <w:rPr>
          <w:b/>
        </w:rPr>
      </w:pPr>
      <w:r w:rsidRPr="00F1060A">
        <w:rPr>
          <w:b/>
        </w:rPr>
        <w:t xml:space="preserve">подготовки </w:t>
      </w:r>
      <w:r w:rsidR="004368AF" w:rsidRPr="00F1060A">
        <w:rPr>
          <w:b/>
        </w:rPr>
        <w:t xml:space="preserve"> и</w:t>
      </w:r>
      <w:r w:rsidRPr="00F1060A">
        <w:rPr>
          <w:b/>
        </w:rPr>
        <w:t xml:space="preserve"> </w:t>
      </w:r>
      <w:r w:rsidR="004368AF" w:rsidRPr="00F1060A">
        <w:rPr>
          <w:b/>
        </w:rPr>
        <w:t xml:space="preserve">издания </w:t>
      </w:r>
      <w:r w:rsidR="003A4971" w:rsidRPr="00F1060A">
        <w:rPr>
          <w:b/>
        </w:rPr>
        <w:t>нормативных</w:t>
      </w:r>
    </w:p>
    <w:p w:rsidR="003A4971" w:rsidRPr="00F1060A" w:rsidRDefault="003A4971" w:rsidP="00062477">
      <w:pPr>
        <w:rPr>
          <w:b/>
        </w:rPr>
      </w:pPr>
      <w:r w:rsidRPr="00F1060A">
        <w:rPr>
          <w:b/>
        </w:rPr>
        <w:t xml:space="preserve">правовых и </w:t>
      </w:r>
      <w:r w:rsidR="004368AF" w:rsidRPr="00F1060A">
        <w:rPr>
          <w:b/>
        </w:rPr>
        <w:t>правовых актов</w:t>
      </w:r>
      <w:r w:rsidR="00C22626" w:rsidRPr="00F1060A">
        <w:rPr>
          <w:b/>
        </w:rPr>
        <w:t xml:space="preserve"> </w:t>
      </w:r>
    </w:p>
    <w:p w:rsidR="003A4971" w:rsidRPr="00F1060A" w:rsidRDefault="004368AF" w:rsidP="00062477">
      <w:pPr>
        <w:rPr>
          <w:b/>
        </w:rPr>
      </w:pPr>
      <w:r w:rsidRPr="00F1060A">
        <w:rPr>
          <w:b/>
        </w:rPr>
        <w:t>администрации сельского</w:t>
      </w:r>
      <w:r w:rsidR="00C22626" w:rsidRPr="00F1060A">
        <w:rPr>
          <w:b/>
        </w:rPr>
        <w:t xml:space="preserve"> </w:t>
      </w:r>
    </w:p>
    <w:p w:rsidR="004368AF" w:rsidRPr="00F1060A" w:rsidRDefault="004368AF" w:rsidP="00062477">
      <w:pPr>
        <w:rPr>
          <w:b/>
        </w:rPr>
      </w:pPr>
      <w:r w:rsidRPr="00F1060A">
        <w:rPr>
          <w:b/>
        </w:rPr>
        <w:t>поселения Хатанга</w:t>
      </w:r>
    </w:p>
    <w:p w:rsidR="00173D1B" w:rsidRPr="00F1060A" w:rsidRDefault="00173D1B" w:rsidP="00173D1B">
      <w:pPr>
        <w:jc w:val="both"/>
      </w:pPr>
    </w:p>
    <w:p w:rsidR="00334C2B" w:rsidRPr="00F1060A" w:rsidRDefault="00173D1B" w:rsidP="00173D1B">
      <w:pPr>
        <w:ind w:firstLine="709"/>
        <w:jc w:val="both"/>
      </w:pPr>
      <w:r w:rsidRPr="00F1060A">
        <w:t xml:space="preserve">В целях упорядочения подготовки и согласования проектов </w:t>
      </w:r>
      <w:r w:rsidR="003A4971" w:rsidRPr="00F1060A">
        <w:t xml:space="preserve">нормативных правовых и </w:t>
      </w:r>
      <w:r w:rsidRPr="00F1060A">
        <w:t xml:space="preserve">правовых актов  администрации сельского поселения Хатанга, руководствуясь Федеральным законом "Об общих принципах организации местного самоуправления в Российской Федерации", </w:t>
      </w:r>
      <w:r w:rsidR="004368AF" w:rsidRPr="00F1060A">
        <w:t xml:space="preserve"> статьей 53 Устава сельского поселения Хатанга, </w:t>
      </w:r>
    </w:p>
    <w:p w:rsidR="00173D1B" w:rsidRPr="00F1060A" w:rsidRDefault="00062477" w:rsidP="00062477">
      <w:pPr>
        <w:ind w:firstLine="1134"/>
        <w:rPr>
          <w:b/>
          <w:spacing w:val="20"/>
        </w:rPr>
      </w:pPr>
      <w:r w:rsidRPr="00F1060A">
        <w:rPr>
          <w:b/>
          <w:spacing w:val="20"/>
        </w:rPr>
        <w:t xml:space="preserve">                            </w:t>
      </w:r>
      <w:r w:rsidR="00374152" w:rsidRPr="00F1060A">
        <w:rPr>
          <w:b/>
          <w:spacing w:val="20"/>
        </w:rPr>
        <w:t xml:space="preserve">     </w:t>
      </w:r>
    </w:p>
    <w:p w:rsidR="00062477" w:rsidRPr="00F1060A" w:rsidRDefault="00CC093B" w:rsidP="00CC093B">
      <w:pPr>
        <w:ind w:firstLine="1134"/>
        <w:rPr>
          <w:b/>
          <w:spacing w:val="20"/>
        </w:rPr>
      </w:pPr>
      <w:r>
        <w:rPr>
          <w:b/>
          <w:spacing w:val="20"/>
        </w:rPr>
        <w:t xml:space="preserve">                             </w:t>
      </w:r>
      <w:r w:rsidR="00062477" w:rsidRPr="00F1060A">
        <w:rPr>
          <w:b/>
          <w:spacing w:val="20"/>
        </w:rPr>
        <w:t>ПОСТАНОВЛЯЮ:</w:t>
      </w:r>
    </w:p>
    <w:p w:rsidR="00062477" w:rsidRPr="00F1060A" w:rsidRDefault="00062477" w:rsidP="00062477">
      <w:pPr>
        <w:ind w:firstLine="1134"/>
        <w:jc w:val="center"/>
        <w:rPr>
          <w:b/>
          <w:spacing w:val="20"/>
        </w:rPr>
      </w:pPr>
    </w:p>
    <w:p w:rsidR="00173D1B" w:rsidRPr="00F1060A" w:rsidRDefault="004368AF" w:rsidP="00221C7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1060A">
        <w:t xml:space="preserve">Утвердить </w:t>
      </w:r>
      <w:hyperlink r:id="rId9" w:anchor="Par44" w:history="1">
        <w:r w:rsidRPr="00F1060A">
          <w:rPr>
            <w:rStyle w:val="a5"/>
            <w:color w:val="auto"/>
            <w:u w:val="none"/>
          </w:rPr>
          <w:t>Порядок</w:t>
        </w:r>
      </w:hyperlink>
      <w:r w:rsidRPr="00F1060A">
        <w:t xml:space="preserve"> подготовки и издания </w:t>
      </w:r>
      <w:r w:rsidR="003A4971" w:rsidRPr="00F1060A">
        <w:t xml:space="preserve">нормативных правовых и </w:t>
      </w:r>
      <w:r w:rsidRPr="00F1060A">
        <w:t>правовых актов администрации сельского поселения Хатанга</w:t>
      </w:r>
      <w:r w:rsidR="00B51BBA" w:rsidRPr="00F1060A">
        <w:t xml:space="preserve"> (</w:t>
      </w:r>
      <w:r w:rsidR="00173D1B" w:rsidRPr="00F1060A">
        <w:t>далее – Порядок)</w:t>
      </w:r>
      <w:r w:rsidRPr="00F1060A">
        <w:t>, согласно приложению</w:t>
      </w:r>
      <w:r w:rsidR="00471677" w:rsidRPr="00F1060A">
        <w:t>.</w:t>
      </w:r>
    </w:p>
    <w:p w:rsidR="00173D1B" w:rsidRPr="00F1060A" w:rsidRDefault="00173D1B" w:rsidP="00173D1B">
      <w:pPr>
        <w:widowControl w:val="0"/>
        <w:autoSpaceDE w:val="0"/>
        <w:autoSpaceDN w:val="0"/>
        <w:adjustRightInd w:val="0"/>
        <w:jc w:val="both"/>
      </w:pPr>
    </w:p>
    <w:p w:rsidR="00173D1B" w:rsidRPr="00F1060A" w:rsidRDefault="00173D1B" w:rsidP="00221C7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1060A">
        <w:t>Начальникам структурных подразделений и самостоятельных отделов:</w:t>
      </w:r>
      <w:r w:rsidR="004E066F" w:rsidRPr="00F1060A">
        <w:t xml:space="preserve"> Финансовый отдел (Смирнова О.В.), Отдел по управлению муниципальным имуществом (Клыпина Н.Б.), Отдел культуры (Майнагашев А.С.) </w:t>
      </w:r>
      <w:r w:rsidRPr="00F1060A">
        <w:t>администрации сельского поселения Хатанга довести утвержденный Порядок до подчиненных работников и обеспечить контроль за его исполнением при подготовке проектов нормативных правовых</w:t>
      </w:r>
      <w:r w:rsidR="00FB32F6" w:rsidRPr="00F1060A">
        <w:t xml:space="preserve"> и правовых</w:t>
      </w:r>
      <w:r w:rsidRPr="00F1060A">
        <w:t xml:space="preserve"> актов.</w:t>
      </w:r>
    </w:p>
    <w:p w:rsidR="00173D1B" w:rsidRPr="00F1060A" w:rsidRDefault="00173D1B" w:rsidP="004368AF">
      <w:pPr>
        <w:widowControl w:val="0"/>
        <w:autoSpaceDE w:val="0"/>
        <w:autoSpaceDN w:val="0"/>
        <w:adjustRightInd w:val="0"/>
        <w:jc w:val="both"/>
      </w:pPr>
    </w:p>
    <w:p w:rsidR="004368AF" w:rsidRPr="00F1060A" w:rsidRDefault="004965AB" w:rsidP="00221C7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1060A">
        <w:t xml:space="preserve">Постановление вступает в силу </w:t>
      </w:r>
      <w:r w:rsidR="004368AF" w:rsidRPr="00F1060A">
        <w:t>в день, следующий за днем его официального опубликования.</w:t>
      </w:r>
    </w:p>
    <w:p w:rsidR="00173D1B" w:rsidRPr="00F1060A" w:rsidRDefault="00173D1B" w:rsidP="004368AF">
      <w:pPr>
        <w:jc w:val="both"/>
      </w:pPr>
    </w:p>
    <w:p w:rsidR="00062477" w:rsidRPr="00F1060A" w:rsidRDefault="00062477" w:rsidP="00221C72">
      <w:pPr>
        <w:numPr>
          <w:ilvl w:val="0"/>
          <w:numId w:val="4"/>
        </w:numPr>
        <w:jc w:val="both"/>
      </w:pPr>
      <w:r w:rsidRPr="00F1060A">
        <w:t xml:space="preserve">Контроль за исполнением настоящего </w:t>
      </w:r>
      <w:r w:rsidR="004965AB" w:rsidRPr="00F1060A">
        <w:t>П</w:t>
      </w:r>
      <w:r w:rsidRPr="00F1060A">
        <w:t xml:space="preserve">остановления оставляю за собой.     </w:t>
      </w:r>
    </w:p>
    <w:p w:rsidR="00062477" w:rsidRPr="00F1060A" w:rsidRDefault="00062477" w:rsidP="00062477">
      <w:pPr>
        <w:ind w:left="360"/>
        <w:jc w:val="both"/>
      </w:pPr>
    </w:p>
    <w:p w:rsidR="00062477" w:rsidRPr="00F1060A" w:rsidRDefault="00062477" w:rsidP="00062477">
      <w:pPr>
        <w:jc w:val="both"/>
      </w:pPr>
    </w:p>
    <w:p w:rsidR="00087B25" w:rsidRPr="00F1060A" w:rsidRDefault="00087B25" w:rsidP="00062477">
      <w:pPr>
        <w:jc w:val="both"/>
      </w:pPr>
    </w:p>
    <w:p w:rsidR="00062477" w:rsidRPr="00F1060A" w:rsidRDefault="004965AB" w:rsidP="00062477">
      <w:pPr>
        <w:jc w:val="both"/>
      </w:pPr>
      <w:r w:rsidRPr="00F1060A">
        <w:t>И.о. Руководителя</w:t>
      </w:r>
      <w:r w:rsidR="00062477" w:rsidRPr="00F1060A">
        <w:t xml:space="preserve"> администрации</w:t>
      </w:r>
    </w:p>
    <w:p w:rsidR="00062477" w:rsidRPr="00F1060A" w:rsidRDefault="00062477" w:rsidP="00062477">
      <w:pPr>
        <w:jc w:val="both"/>
      </w:pPr>
      <w:r w:rsidRPr="00F1060A">
        <w:t xml:space="preserve">сельского поселения Хатанга                                               </w:t>
      </w:r>
      <w:r w:rsidR="00F93C5A" w:rsidRPr="00F1060A">
        <w:t xml:space="preserve">               </w:t>
      </w:r>
      <w:r w:rsidR="00087B25" w:rsidRPr="00F1060A">
        <w:t xml:space="preserve">               </w:t>
      </w:r>
      <w:r w:rsidR="00F93C5A" w:rsidRPr="00F1060A">
        <w:t xml:space="preserve"> </w:t>
      </w:r>
      <w:r w:rsidR="004965AB" w:rsidRPr="00F1060A">
        <w:t>Е.А. Бондарев</w:t>
      </w:r>
    </w:p>
    <w:p w:rsidR="00062477" w:rsidRPr="00F1060A" w:rsidRDefault="00062477" w:rsidP="00062477">
      <w:pPr>
        <w:jc w:val="right"/>
      </w:pPr>
    </w:p>
    <w:p w:rsidR="00F93C5A" w:rsidRPr="00F1060A" w:rsidRDefault="00F93C5A" w:rsidP="00062477"/>
    <w:p w:rsidR="006B6C4E" w:rsidRDefault="006B6C4E" w:rsidP="004368AF">
      <w:pPr>
        <w:pStyle w:val="a6"/>
        <w:ind w:firstLine="6379"/>
        <w:rPr>
          <w:b/>
          <w:sz w:val="20"/>
          <w:szCs w:val="20"/>
        </w:rPr>
      </w:pPr>
    </w:p>
    <w:p w:rsidR="006B6C4E" w:rsidRDefault="006B6C4E" w:rsidP="004368AF">
      <w:pPr>
        <w:pStyle w:val="a6"/>
        <w:ind w:firstLine="6379"/>
        <w:rPr>
          <w:b/>
          <w:sz w:val="20"/>
          <w:szCs w:val="20"/>
        </w:rPr>
      </w:pPr>
    </w:p>
    <w:p w:rsidR="006B6C4E" w:rsidRDefault="006B6C4E" w:rsidP="004368AF">
      <w:pPr>
        <w:pStyle w:val="a6"/>
        <w:ind w:firstLine="6379"/>
        <w:rPr>
          <w:b/>
          <w:sz w:val="20"/>
          <w:szCs w:val="20"/>
        </w:rPr>
      </w:pPr>
    </w:p>
    <w:p w:rsidR="006B6C4E" w:rsidRDefault="006B6C4E" w:rsidP="004368AF">
      <w:pPr>
        <w:pStyle w:val="a6"/>
        <w:ind w:firstLine="6379"/>
        <w:rPr>
          <w:b/>
          <w:sz w:val="20"/>
          <w:szCs w:val="20"/>
        </w:rPr>
      </w:pPr>
    </w:p>
    <w:p w:rsidR="004368AF" w:rsidRPr="00F1060A" w:rsidRDefault="00471677" w:rsidP="004368AF">
      <w:pPr>
        <w:pStyle w:val="a6"/>
        <w:ind w:firstLine="6379"/>
        <w:rPr>
          <w:b/>
          <w:sz w:val="20"/>
          <w:szCs w:val="20"/>
        </w:rPr>
      </w:pPr>
      <w:r w:rsidRPr="00F1060A">
        <w:rPr>
          <w:b/>
          <w:sz w:val="20"/>
          <w:szCs w:val="20"/>
        </w:rPr>
        <w:lastRenderedPageBreak/>
        <w:t xml:space="preserve">Приложение </w:t>
      </w:r>
    </w:p>
    <w:p w:rsidR="004368AF" w:rsidRPr="00F1060A" w:rsidRDefault="004368AF" w:rsidP="004368AF">
      <w:pPr>
        <w:pStyle w:val="a6"/>
        <w:ind w:firstLine="6379"/>
        <w:rPr>
          <w:sz w:val="20"/>
          <w:szCs w:val="20"/>
        </w:rPr>
      </w:pPr>
      <w:r w:rsidRPr="00F1060A">
        <w:rPr>
          <w:sz w:val="20"/>
          <w:szCs w:val="20"/>
        </w:rPr>
        <w:t>к Постановлению администрации</w:t>
      </w:r>
    </w:p>
    <w:p w:rsidR="004368AF" w:rsidRPr="00F1060A" w:rsidRDefault="004368AF" w:rsidP="004368AF">
      <w:pPr>
        <w:pStyle w:val="a6"/>
        <w:ind w:firstLine="6379"/>
        <w:rPr>
          <w:sz w:val="20"/>
          <w:szCs w:val="20"/>
        </w:rPr>
      </w:pPr>
      <w:r w:rsidRPr="00F1060A">
        <w:rPr>
          <w:sz w:val="20"/>
          <w:szCs w:val="20"/>
        </w:rPr>
        <w:t>сельского поселения Хатанга</w:t>
      </w:r>
    </w:p>
    <w:p w:rsidR="004368AF" w:rsidRPr="00F1060A" w:rsidRDefault="003A4971" w:rsidP="004368AF">
      <w:pPr>
        <w:pStyle w:val="a6"/>
        <w:ind w:firstLine="6379"/>
        <w:rPr>
          <w:sz w:val="20"/>
          <w:szCs w:val="20"/>
        </w:rPr>
      </w:pPr>
      <w:r w:rsidRPr="00F1060A">
        <w:rPr>
          <w:sz w:val="20"/>
          <w:szCs w:val="20"/>
        </w:rPr>
        <w:t xml:space="preserve">от  </w:t>
      </w:r>
      <w:r w:rsidR="00F91C94">
        <w:rPr>
          <w:sz w:val="20"/>
          <w:szCs w:val="20"/>
        </w:rPr>
        <w:t>18.</w:t>
      </w:r>
      <w:r w:rsidRPr="00F1060A">
        <w:rPr>
          <w:sz w:val="20"/>
          <w:szCs w:val="20"/>
        </w:rPr>
        <w:t>10</w:t>
      </w:r>
      <w:r w:rsidR="004368AF" w:rsidRPr="00F1060A">
        <w:rPr>
          <w:sz w:val="20"/>
          <w:szCs w:val="20"/>
        </w:rPr>
        <w:t xml:space="preserve">.2012 г. № </w:t>
      </w:r>
      <w:r w:rsidR="00F91C94">
        <w:rPr>
          <w:sz w:val="20"/>
          <w:szCs w:val="20"/>
        </w:rPr>
        <w:t xml:space="preserve">149 </w:t>
      </w:r>
      <w:r w:rsidR="004368AF" w:rsidRPr="00F1060A">
        <w:rPr>
          <w:sz w:val="20"/>
          <w:szCs w:val="20"/>
        </w:rPr>
        <w:t>-</w:t>
      </w:r>
      <w:r w:rsidR="00FB32F6" w:rsidRPr="00F1060A">
        <w:rPr>
          <w:sz w:val="20"/>
          <w:szCs w:val="20"/>
        </w:rPr>
        <w:t xml:space="preserve"> </w:t>
      </w:r>
      <w:r w:rsidR="004368AF" w:rsidRPr="00F1060A">
        <w:rPr>
          <w:sz w:val="20"/>
          <w:szCs w:val="20"/>
        </w:rPr>
        <w:t>П</w:t>
      </w:r>
    </w:p>
    <w:p w:rsidR="004368AF" w:rsidRPr="00F1060A" w:rsidRDefault="004368AF" w:rsidP="004368AF">
      <w:pPr>
        <w:pStyle w:val="ConsPlusTitle"/>
        <w:jc w:val="center"/>
        <w:rPr>
          <w:sz w:val="20"/>
          <w:szCs w:val="20"/>
        </w:rPr>
      </w:pPr>
    </w:p>
    <w:p w:rsidR="004368AF" w:rsidRPr="00F1060A" w:rsidRDefault="004368AF" w:rsidP="004368AF">
      <w:pPr>
        <w:pStyle w:val="ConsPlusTitle"/>
        <w:jc w:val="center"/>
        <w:rPr>
          <w:sz w:val="20"/>
          <w:szCs w:val="20"/>
        </w:rPr>
      </w:pPr>
    </w:p>
    <w:p w:rsidR="004368AF" w:rsidRPr="00F1060A" w:rsidRDefault="004368AF" w:rsidP="004368AF">
      <w:pPr>
        <w:pStyle w:val="ConsPlusTitle"/>
        <w:jc w:val="center"/>
        <w:rPr>
          <w:sz w:val="20"/>
          <w:szCs w:val="20"/>
        </w:rPr>
      </w:pPr>
    </w:p>
    <w:p w:rsidR="004368AF" w:rsidRPr="00F1060A" w:rsidRDefault="004368AF" w:rsidP="004368AF">
      <w:pPr>
        <w:pStyle w:val="ConsPlusTitle"/>
        <w:jc w:val="center"/>
        <w:rPr>
          <w:sz w:val="20"/>
          <w:szCs w:val="20"/>
        </w:rPr>
      </w:pPr>
    </w:p>
    <w:p w:rsidR="004368AF" w:rsidRPr="00F1060A" w:rsidRDefault="004368AF" w:rsidP="004368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060A">
        <w:rPr>
          <w:rFonts w:ascii="Times New Roman" w:hAnsi="Times New Roman" w:cs="Times New Roman"/>
          <w:sz w:val="24"/>
          <w:szCs w:val="24"/>
        </w:rPr>
        <w:t>ПОРЯДОК</w:t>
      </w:r>
    </w:p>
    <w:p w:rsidR="004368AF" w:rsidRPr="00F1060A" w:rsidRDefault="004368AF" w:rsidP="004368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4"/>
      <w:bookmarkEnd w:id="0"/>
      <w:r w:rsidRPr="00F1060A">
        <w:rPr>
          <w:rFonts w:ascii="Times New Roman" w:hAnsi="Times New Roman" w:cs="Times New Roman"/>
          <w:sz w:val="24"/>
          <w:szCs w:val="24"/>
        </w:rPr>
        <w:t>ПОДГОТОВКИ И ИЗДАНИЯ ПРАВОВЫХ АКТОВ</w:t>
      </w:r>
    </w:p>
    <w:p w:rsidR="004368AF" w:rsidRPr="00F1060A" w:rsidRDefault="004368AF" w:rsidP="004368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060A">
        <w:rPr>
          <w:rFonts w:ascii="Times New Roman" w:hAnsi="Times New Roman" w:cs="Times New Roman"/>
          <w:sz w:val="24"/>
          <w:szCs w:val="24"/>
        </w:rPr>
        <w:t>АДМИНИСТРАЦИИ СЕЛЬСКОГО ПОСЕЛЕНИЯ ХАТАНГА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jc w:val="center"/>
      </w:pPr>
    </w:p>
    <w:p w:rsidR="004368AF" w:rsidRPr="00F1060A" w:rsidRDefault="004368AF" w:rsidP="004368AF">
      <w:pPr>
        <w:widowControl w:val="0"/>
        <w:autoSpaceDE w:val="0"/>
        <w:autoSpaceDN w:val="0"/>
        <w:adjustRightInd w:val="0"/>
        <w:jc w:val="center"/>
      </w:pPr>
      <w:r w:rsidRPr="00F1060A">
        <w:t>1. ОБЩИЕ ПОЛОЖЕНИЯ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1.1. Настоящий Порядок разработан в целях повышения эффективности и качества подготовки проектов </w:t>
      </w:r>
      <w:r w:rsidR="00FB32F6" w:rsidRPr="00F1060A">
        <w:t>нормативных правовых</w:t>
      </w:r>
      <w:r w:rsidR="003A4971" w:rsidRPr="00F1060A">
        <w:t xml:space="preserve"> и правовых </w:t>
      </w:r>
      <w:r w:rsidR="00FB32F6" w:rsidRPr="00F1060A">
        <w:t xml:space="preserve"> актов а</w:t>
      </w:r>
      <w:r w:rsidRPr="00F1060A">
        <w:t>дминистрации сельского поселения Хатанга (далее - проекты правовых актов).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1.2. Разработка проекта правового акта возможна в виде подготовки: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нового правового акта;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изменений в текст правового акта, т.е. внесения в текст действующего правового акта новых положений или замены прежних предписаний новыми, изменяющими, уточняющими, расширяющими либо сужающими содержание правового регулирования.</w:t>
      </w:r>
    </w:p>
    <w:p w:rsidR="00B51BBA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1.3. Перед составлением текста проекта правового акта должны быть изучены относящиеся к теме проекта законодательство Российской Федерации и Красноярского края, договоры о разграничении предметов ведения и полномочий и соглашения о передаче части полномочий между органами исполнительной власти Российской Федерации и субъектов Российской Федерации, практика применения соответствующих нормативных правовых актов, </w:t>
      </w:r>
      <w:r w:rsidR="003A4971" w:rsidRPr="00F1060A">
        <w:t>нормативные</w:t>
      </w:r>
      <w:r w:rsidR="00B51BBA" w:rsidRPr="00F1060A">
        <w:t xml:space="preserve"> правовые акты органов местного самоуправления «Сельское поселение Хатанга».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Подготавливаемые правовые акты не должны противоречить </w:t>
      </w:r>
      <w:hyperlink r:id="rId10" w:history="1">
        <w:r w:rsidRPr="00F1060A">
          <w:rPr>
            <w:rStyle w:val="a5"/>
            <w:color w:val="auto"/>
            <w:u w:val="none"/>
          </w:rPr>
          <w:t>Конституции</w:t>
        </w:r>
      </w:hyperlink>
      <w:r w:rsidRPr="00F1060A">
        <w:t xml:space="preserve"> Российской Федерации, федеральным законам, </w:t>
      </w:r>
      <w:hyperlink r:id="rId11" w:history="1">
        <w:r w:rsidRPr="00F1060A">
          <w:rPr>
            <w:rStyle w:val="a5"/>
            <w:color w:val="auto"/>
            <w:u w:val="none"/>
          </w:rPr>
          <w:t>Уставу</w:t>
        </w:r>
      </w:hyperlink>
      <w:r w:rsidRPr="00F1060A">
        <w:t xml:space="preserve"> Красноярского края, законам края; Уставу сельского поселения Хатанга.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1.4. Основными стадиями подготовки проектов правовых актов являются: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анализ проблемной ситуации, определение целей;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поиск стратегии разрешения проблемы, постановка управленческих задач;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выработка решения - поиск, оценка, выбор альтернатив;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оформление в письменном виде проекта правового акта и его визирование исполнителями;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согласование проекта правового акта;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доработка проекта правового акта (в случае подготовки проекта правового акта с замечаниями).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1.5. Подготовка проекта правового акта осуществляется по поручению </w:t>
      </w:r>
      <w:r w:rsidR="00FA1D0D" w:rsidRPr="00F1060A">
        <w:t xml:space="preserve">Руководителя, </w:t>
      </w:r>
      <w:r w:rsidRPr="00F1060A">
        <w:t xml:space="preserve">заместителей Руководителя </w:t>
      </w:r>
      <w:r w:rsidR="00FA1D0D" w:rsidRPr="00F1060A">
        <w:t>администрации сельского поселения Хатанга</w:t>
      </w:r>
      <w:r w:rsidR="00B51BBA" w:rsidRPr="00F1060A">
        <w:t>, начальников структурных подразделений администрации сельского поселения Хатанга.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368AF" w:rsidRPr="00F1060A" w:rsidRDefault="004368AF" w:rsidP="004368AF">
      <w:pPr>
        <w:widowControl w:val="0"/>
        <w:autoSpaceDE w:val="0"/>
        <w:autoSpaceDN w:val="0"/>
        <w:adjustRightInd w:val="0"/>
        <w:jc w:val="center"/>
      </w:pPr>
      <w:r w:rsidRPr="00F1060A">
        <w:t>2. ОФОРМЛЕНИЕ ПРОЕКТОВ ПРАВОВЫХ АКТОВ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2.1. При определении формы правового акта необходимо руководствоваться следующим:</w:t>
      </w:r>
    </w:p>
    <w:p w:rsidR="004368AF" w:rsidRPr="00F1060A" w:rsidRDefault="00FA1D0D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- </w:t>
      </w:r>
      <w:r w:rsidR="004368AF" w:rsidRPr="00F1060A">
        <w:t xml:space="preserve">под нормативным правовым актом понимается изданный в установленном порядке акт </w:t>
      </w:r>
      <w:r w:rsidRPr="00F1060A">
        <w:t xml:space="preserve"> органов местного самоуправления</w:t>
      </w:r>
      <w:r w:rsidR="004368AF" w:rsidRPr="00F1060A">
        <w:t xml:space="preserve">, должностного лица, устанавливающий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</w:t>
      </w:r>
      <w:r w:rsidR="004368AF" w:rsidRPr="00F1060A">
        <w:lastRenderedPageBreak/>
        <w:t>отношений либо на изменение или прекращение существующих правоотношений;</w:t>
      </w:r>
    </w:p>
    <w:p w:rsidR="00D0207C" w:rsidRPr="00F1060A" w:rsidRDefault="00FA1D0D" w:rsidP="004368AF">
      <w:pPr>
        <w:widowControl w:val="0"/>
        <w:autoSpaceDE w:val="0"/>
        <w:autoSpaceDN w:val="0"/>
        <w:adjustRightInd w:val="0"/>
        <w:ind w:firstLine="540"/>
        <w:jc w:val="both"/>
        <w:sectPr w:rsidR="00D0207C" w:rsidRPr="00F1060A" w:rsidSect="004C0CC2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 w:rsidRPr="00F1060A">
        <w:t xml:space="preserve">- </w:t>
      </w:r>
      <w:r w:rsidR="004368AF" w:rsidRPr="00F1060A">
        <w:t xml:space="preserve">под правовым актом индивидуального характера понимается правовой акт, 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lastRenderedPageBreak/>
        <w:t>устанавливающий, изменяющий или отменяющий права и обязанности конкретных лиц;</w:t>
      </w:r>
    </w:p>
    <w:p w:rsidR="004368AF" w:rsidRPr="00F1060A" w:rsidRDefault="00FA1D0D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- </w:t>
      </w:r>
      <w:r w:rsidR="004368AF" w:rsidRPr="00F1060A">
        <w:t>под смешанным правовым актом понимается правовой акт, содержащий как нормативные предписания, так и правовые нормы индивидуального характера. При этом к смешанному правовому акту применяются требования, установленные для нормативного правового акта.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2.2. </w:t>
      </w:r>
      <w:r w:rsidR="00FA1D0D" w:rsidRPr="00F1060A">
        <w:t>Руководитель администраци</w:t>
      </w:r>
      <w:r w:rsidR="00B51BBA" w:rsidRPr="00F1060A">
        <w:t>и сельского поселения Хатанга (</w:t>
      </w:r>
      <w:r w:rsidR="00FA1D0D" w:rsidRPr="00F1060A">
        <w:t>далее – Руководитель администрации</w:t>
      </w:r>
      <w:r w:rsidR="00471677" w:rsidRPr="00F1060A">
        <w:t xml:space="preserve"> СП Хатанга</w:t>
      </w:r>
      <w:r w:rsidR="00FA1D0D" w:rsidRPr="00F1060A">
        <w:t>)</w:t>
      </w:r>
      <w:r w:rsidRPr="00F1060A">
        <w:t xml:space="preserve"> по вопросам своей компетенции издает </w:t>
      </w:r>
      <w:r w:rsidR="00FA1D0D" w:rsidRPr="00F1060A">
        <w:t>постановления</w:t>
      </w:r>
      <w:r w:rsidRPr="00F1060A">
        <w:t xml:space="preserve"> и распоряжения.</w:t>
      </w:r>
    </w:p>
    <w:p w:rsidR="004368AF" w:rsidRPr="00F1060A" w:rsidRDefault="00FA1D0D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Постановлениями Руководителя администрации</w:t>
      </w:r>
      <w:r w:rsidR="004368AF" w:rsidRPr="00F1060A">
        <w:t xml:space="preserve"> </w:t>
      </w:r>
      <w:r w:rsidR="00471677" w:rsidRPr="00F1060A">
        <w:t xml:space="preserve">СП Хатанга </w:t>
      </w:r>
      <w:r w:rsidR="004368AF" w:rsidRPr="00F1060A">
        <w:t>осуществляется нормативное правовое регулирование.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Распоряжения </w:t>
      </w:r>
      <w:r w:rsidR="00FA1D0D" w:rsidRPr="00F1060A">
        <w:t>Руководителя администрации</w:t>
      </w:r>
      <w:r w:rsidRPr="00F1060A">
        <w:t xml:space="preserve"> </w:t>
      </w:r>
      <w:r w:rsidR="00471677" w:rsidRPr="00F1060A">
        <w:t xml:space="preserve">СП Хатанга </w:t>
      </w:r>
      <w:r w:rsidRPr="00F1060A">
        <w:t>являются индивидуальными правовыми актами.</w:t>
      </w:r>
    </w:p>
    <w:p w:rsidR="00C22626" w:rsidRPr="00F1060A" w:rsidRDefault="00F53D8C" w:rsidP="004368A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F1060A">
        <w:t>2.3</w:t>
      </w:r>
      <w:r w:rsidR="004368AF" w:rsidRPr="00F1060A">
        <w:t>. Текст проекта правового акта должен излагаться в соответствии с нормами официального делового стиля современного русского литературного языка, по возможности короткими фразами, с использованием слов и выражений в их прямом буквальном значении. Не допускается использование устаревших и многозначных слов и выражений, не являющихся общеупотребимыми</w:t>
      </w:r>
      <w:r w:rsidR="004368AF" w:rsidRPr="00F1060A">
        <w:rPr>
          <w:rFonts w:ascii="Calibri" w:hAnsi="Calibri" w:cs="Calibri"/>
        </w:rPr>
        <w:t xml:space="preserve">. 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По своему содержанию подготавливаемый правовой акт не должен, как правило, дублировать нормативные положения, содержащиеся в других правовых актах.</w:t>
      </w:r>
    </w:p>
    <w:p w:rsidR="004368AF" w:rsidRPr="00F1060A" w:rsidRDefault="00F53D8C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2.4</w:t>
      </w:r>
      <w:r w:rsidR="004368AF" w:rsidRPr="00F1060A">
        <w:t>. К проекту правового акта должны быть приложены: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все замечания и предложения, поступившие в процессе согласования;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в необходимых случаях расчеты и экономический прогноз;</w:t>
      </w:r>
    </w:p>
    <w:p w:rsidR="004368AF" w:rsidRPr="00F1060A" w:rsidRDefault="0077124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копии действующих правовых актов</w:t>
      </w:r>
      <w:r w:rsidR="004368AF" w:rsidRPr="00F1060A">
        <w:t xml:space="preserve"> в том случае, если проект предусматривает внесение в них изменений или признание их утратившими силу;</w:t>
      </w:r>
    </w:p>
    <w:p w:rsidR="004368AF" w:rsidRPr="00F1060A" w:rsidRDefault="00CC093B" w:rsidP="004368AF">
      <w:pPr>
        <w:widowControl w:val="0"/>
        <w:autoSpaceDE w:val="0"/>
        <w:autoSpaceDN w:val="0"/>
        <w:adjustRightInd w:val="0"/>
        <w:ind w:firstLine="540"/>
        <w:jc w:val="both"/>
      </w:pPr>
      <w:r>
        <w:t>копия личного</w:t>
      </w:r>
      <w:r w:rsidR="004368AF" w:rsidRPr="00F1060A">
        <w:t xml:space="preserve"> заявлени</w:t>
      </w:r>
      <w:r>
        <w:t>я</w:t>
      </w:r>
      <w:r w:rsidR="004368AF" w:rsidRPr="00F1060A">
        <w:t xml:space="preserve"> гражданина в том случае, если проектом правового акта регулируются вопросы прохождения </w:t>
      </w:r>
      <w:r w:rsidR="0077124F" w:rsidRPr="00F1060A">
        <w:t>муниципальной</w:t>
      </w:r>
      <w:r w:rsidR="004368AF" w:rsidRPr="00F1060A">
        <w:t xml:space="preserve"> службы;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лист согласования установленной формы к проекту правового акта.</w:t>
      </w:r>
    </w:p>
    <w:p w:rsidR="004368AF" w:rsidRPr="00F1060A" w:rsidRDefault="00F53D8C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2.5</w:t>
      </w:r>
      <w:r w:rsidR="004368AF" w:rsidRPr="00F1060A">
        <w:t xml:space="preserve">. </w:t>
      </w:r>
      <w:r w:rsidR="00E00B8F" w:rsidRPr="00F1060A">
        <w:t>П</w:t>
      </w:r>
      <w:r w:rsidR="004368AF" w:rsidRPr="00F1060A">
        <w:t>равовую экспертизу проекта правового акта с целью определения соответствия его действующему законодательству Российской Федерации и Красноярского края, в том числе юридико-техническим требованиям к оформлению правового акта</w:t>
      </w:r>
      <w:r w:rsidR="00E00B8F" w:rsidRPr="00F1060A">
        <w:t xml:space="preserve"> проводит лицо, занимающее должность муниципальной службы в </w:t>
      </w:r>
      <w:r w:rsidR="00471677" w:rsidRPr="00F1060A">
        <w:t>а</w:t>
      </w:r>
      <w:r w:rsidR="00E00B8F" w:rsidRPr="00F1060A">
        <w:t>дминистрации</w:t>
      </w:r>
      <w:r w:rsidR="00471677" w:rsidRPr="00F1060A">
        <w:t xml:space="preserve"> СП Хатанга</w:t>
      </w:r>
      <w:r w:rsidR="00E00B8F" w:rsidRPr="00F1060A">
        <w:t xml:space="preserve"> и наделенное должностными полномочиями проведения правовой экспертизы документов</w:t>
      </w:r>
      <w:r w:rsidR="004368AF" w:rsidRPr="00F1060A">
        <w:t>.</w:t>
      </w:r>
    </w:p>
    <w:p w:rsidR="00E33794" w:rsidRPr="00F1060A" w:rsidRDefault="00935AD0" w:rsidP="00E33794">
      <w:pPr>
        <w:jc w:val="both"/>
      </w:pPr>
      <w:r w:rsidRPr="00F1060A">
        <w:t xml:space="preserve">        </w:t>
      </w:r>
      <w:r w:rsidR="00F53D8C" w:rsidRPr="00F1060A">
        <w:t>2.6</w:t>
      </w:r>
      <w:r w:rsidR="004368AF" w:rsidRPr="00F1060A">
        <w:t xml:space="preserve">. Проект нормативного правового акта подлежит антикоррупционной экспертизе, которая проводится </w:t>
      </w:r>
      <w:r w:rsidR="00E33794" w:rsidRPr="00F1060A">
        <w:t xml:space="preserve">в соответствии с пп. 2 п. 2 приложения 1 к Решению Совета сельского поселения Хатанга от 31.03.2010 г. № 99-РС «Об утверждении Положения о порядке </w:t>
      </w:r>
    </w:p>
    <w:p w:rsidR="00E33794" w:rsidRPr="00F1060A" w:rsidRDefault="00E33794" w:rsidP="00E33794">
      <w:pPr>
        <w:jc w:val="both"/>
      </w:pPr>
      <w:r w:rsidRPr="00F1060A">
        <w:t>проведения антикоррупционной экспертизы нормативных правовых актов  и их проектов в сельском поселении Хатанга».</w:t>
      </w:r>
    </w:p>
    <w:p w:rsidR="004368AF" w:rsidRPr="00F1060A" w:rsidRDefault="00F53D8C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2.7</w:t>
      </w:r>
      <w:r w:rsidR="004368AF" w:rsidRPr="00F1060A">
        <w:t xml:space="preserve">. Правовая экспертиза и антикоррупционная экспертиза проекта правового акта проводятся после его рассмотрения всеми указанными в листе согласования структурными подразделениями и должностными лицами </w:t>
      </w:r>
      <w:r w:rsidR="00471677" w:rsidRPr="00F1060A">
        <w:t>а</w:t>
      </w:r>
      <w:r w:rsidR="004368AF" w:rsidRPr="00F1060A">
        <w:t>дминистрации</w:t>
      </w:r>
      <w:r w:rsidR="00471677" w:rsidRPr="00F1060A">
        <w:t xml:space="preserve"> СП Хатанга</w:t>
      </w:r>
      <w:r w:rsidR="00C22626" w:rsidRPr="00F1060A">
        <w:t>.</w:t>
      </w:r>
      <w:r w:rsidR="004368AF" w:rsidRPr="00F1060A">
        <w:t xml:space="preserve"> </w:t>
      </w:r>
    </w:p>
    <w:p w:rsidR="004368AF" w:rsidRPr="00F1060A" w:rsidRDefault="00F53D8C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2.8</w:t>
      </w:r>
      <w:r w:rsidR="004368AF" w:rsidRPr="00F1060A">
        <w:t>. Срок согласования проекта правового акта составляет</w:t>
      </w:r>
      <w:r w:rsidR="005959C9" w:rsidRPr="00F1060A">
        <w:t xml:space="preserve"> 5 (пять) рабочих дней одним должностным лицом. В исключительных случаях в зависимости от степени подготовки документа, его сложности, необходимости проведения дополнительной экспертизы этот срок может быть увеличен до 8 (восьми) дней</w:t>
      </w:r>
      <w:r w:rsidR="006C4D0E" w:rsidRPr="00F1060A">
        <w:t>. В срочных случаях может быть установлен срок менее 5 (пяти) рабочих дней.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368AF" w:rsidRPr="00F1060A" w:rsidRDefault="004368AF" w:rsidP="004368A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060A">
        <w:rPr>
          <w:b/>
        </w:rPr>
        <w:t>3. ЮРИДИКО-ТЕХНИЧЕСКИЕ ТРЕБОВАНИЯ К ПРОЕКТУ ПРАВОВОГО АКТА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3.1. Требования к форме и структуре проекта правового акта.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lastRenderedPageBreak/>
        <w:t>3.1.1. Проект правового акта состоит из содержательной части и реквизитов.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Содержательная часть проекта правового акта - выраженное в письменном виде закрепление содержащихся в нем правовых норм или индивидуальных предписаний, а также иных предписаний, в том числе разъясняющих цели и мотивы его принятия.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Реквизиты проекта правового акта</w:t>
      </w:r>
      <w:r w:rsidR="00341F73" w:rsidRPr="00F1060A">
        <w:t xml:space="preserve"> определяются в соответствии с И</w:t>
      </w:r>
      <w:r w:rsidRPr="00F1060A">
        <w:t xml:space="preserve">нструкцией по делопроизводству, утверждаемой </w:t>
      </w:r>
      <w:r w:rsidR="00341F73" w:rsidRPr="00F1060A">
        <w:t>Руководителем администрации</w:t>
      </w:r>
      <w:r w:rsidR="00FB32F6" w:rsidRPr="00F1060A">
        <w:t xml:space="preserve"> СП Хатанга</w:t>
      </w:r>
      <w:r w:rsidRPr="00F1060A">
        <w:t>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3.1.2. Структуру проекта правового акта составляют структурные единицы и структурные элементы.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Под структурной единицей понимается нумерованная часть правового акта (раздел, подраздел, пункт, подпункт); под структурным элементом - ненумерованная часть структурной единицы правового акта (абзац).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При оформлении приложения к проекту правового акта в виде таблиц в качестве структурной единицы выделяется строка, которая имеет либо не имеет нумерации.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Каждая структурная единица проекта правового акта должна содержать законченную мысль и содержать, как правило, одно положение. Обычно каждая норма, которая может применяться отдельно и независимо от других, помещается в самостоятельной структурной единице.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3.1.3. </w:t>
      </w:r>
      <w:r w:rsidR="00341F73" w:rsidRPr="00F1060A">
        <w:t xml:space="preserve">Правовые акты </w:t>
      </w:r>
      <w:r w:rsidRPr="00F1060A">
        <w:t>содержат вступительную часть - преамбулу.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В преамбуле указанных проектов правовых актов должны быть указаны нормативные правовые акты Российской Федерации и (или) Красноярского края (с соблюдением требований об иерархии правовых актов), в соответствии и во исполнение которых принимается правовой акт с формулировкой "В соответствии...</w:t>
      </w:r>
      <w:r w:rsidR="003A4971" w:rsidRPr="00F1060A">
        <w:t>, руководствуясь …</w:t>
      </w:r>
      <w:r w:rsidR="00AA6810" w:rsidRPr="00F1060A">
        <w:t>, на основании…</w:t>
      </w:r>
      <w:r w:rsidRPr="00F1060A">
        <w:t>" без упоминания последующих редакций нормативного правового акта, на который имеется ссылка в преамбуле проекта правового акта.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Правовые акты и письма федеральных органов исполнительной власти</w:t>
      </w:r>
      <w:r w:rsidR="00EE1186" w:rsidRPr="00F1060A">
        <w:t xml:space="preserve"> Российской Федерации, органов исполнительной власти Красноярского края, Таймырского муниципального района</w:t>
      </w:r>
      <w:r w:rsidRPr="00F1060A">
        <w:t xml:space="preserve"> не являются основанием для подготовки проектов правовых актов, а могут быть лишь учтены, о чем указывается в преамбуле проекта правового акта.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rPr>
          <w:rFonts w:ascii="Calibri" w:hAnsi="Calibri" w:cs="Calibri"/>
        </w:rPr>
        <w:t>3</w:t>
      </w:r>
      <w:r w:rsidRPr="00F1060A">
        <w:t>.1.4. Включение в проект правового акта норм рекомендательного характера допускается в случаях, когда орган исполнительной власти края, орган местного самоуправления края или должностное лицо уполномочены законодательством Российской Федерации и (или) Красноярского края на совершение рекомендуемых действий и осуществление мер в рамках имеющейся у них компетенции.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3.1.5. Проект правового акта должен содержать положение о конкретных сроках выполнения поручений, адресованных </w:t>
      </w:r>
      <w:r w:rsidR="006C4D0E" w:rsidRPr="00F1060A">
        <w:t>конкретному</w:t>
      </w:r>
      <w:r w:rsidRPr="00F1060A">
        <w:t xml:space="preserve"> должностному лицу,</w:t>
      </w:r>
      <w:r w:rsidR="006C4D0E" w:rsidRPr="00F1060A">
        <w:t xml:space="preserve"> структурным подразделениям органов местного самоуправления, руководителям муниципальных предприятий и учреждений, подведомственных органам местного самоуправления</w:t>
      </w:r>
      <w:r w:rsidRPr="00F1060A">
        <w:t xml:space="preserve"> и положение о контроле за выполнением поручений.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3.1.6. Наименования упоминаемых в проекте правового акта органов государственной власти Российской Федерации и Красноярского края, органов местного самоуправления, организаций, наименования должностей приводятся в полном соответствии с их официальным наименованием, предусмотренным в документах, определяющих их правовое положение.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В проекте правового акта не допускается употребление сокращенных наименований органов государственной власти Российской Федерации, Красноярского края, органов местного самоуправления, организаций, наименований должностей.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3.1.7. При неоднократном упоминании в проекте правового акта заголовка нормативного правового акта, наименований органов государственной власти Российской Федерации, Красноярского края, органов местного самоуправления, организаций, наименований должностей вводится сокращенное наименование при первом упоминании об</w:t>
      </w:r>
      <w:r w:rsidR="00FB32F6" w:rsidRPr="00F1060A">
        <w:t xml:space="preserve"> указанном объекте (по форме - "</w:t>
      </w:r>
      <w:r w:rsidRPr="00F1060A">
        <w:t>далее - ..."), а в последующем тексте проекта правового акта употребляется только его сокращенное наименование.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В приложении к проекту правового акта допускается употребление сокращений как в отношении заголовка приложения, так и иных слов.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lastRenderedPageBreak/>
        <w:t>3.1.8. Употребление в одних структурных единицах проекта правового акта ссылки на другие структурные единицы проекта правового акта применяется для того, чтобы показать взаимную связь отдельных положений проекта правового акта или избежать повторений в нем.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3.1.9. Приложения к проекту правового акта, на которые имеется ссылка в проекте правового акта, оформляются в виде текста, а также в виде таблиц, графиков, карт, схем, графических изображений.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Вспомогательные, уточняющие примечания к приложениям проекта правового акта излагаются в конце приложения.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3.1.10. Разделы, подразделы, пункты, подпункты проекта правового акта имеют сплошную нумерацию арабскими цифрами; абзацы нумерации не имеют.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При выделении в разделах проекта правового акта подразделов они нумеруются арабскими цифрами в порядке возрастания: первая цифра повторяет номер раздела и, после точки, содержит вторую арабскую цифру с точкой.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При выделении в подразделах пунктов они нумеруются арабскими цифрами в порядке возрастания: первая цифра повторяет номер раздела с точкой, вторая цифра повторяет номер подраздела и, после точки, содержит третью арабскую цифру с точкой.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В сложных по структуре проектах правовых актов допускается деление пунктов на подпункты, которые обозначаются арабской</w:t>
      </w:r>
      <w:r w:rsidR="006C4D0E" w:rsidRPr="00F1060A">
        <w:t xml:space="preserve"> цифрой или буквой  со скобкой без точки.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Пункты в проекте правового акта не разделяются на подпункты, если содержащиеся в пункте предложения или абзацы объединены общим смыслом.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3.2. Внесение изменений в правовые акты, признание правовых актов и их структурных единиц утратившими силу.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3.2.1. Внесением изменений в правовые акты, в том числе, считаются: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замена слов, цифр;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исключение слов, цифр, абзацев;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новая редакция структурной единицы, структурного элемента правового акта;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дополнение структурной единицы, структурного элемента правового акта новыми словами, цифрами;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дополнение новыми структурными единицами, структурными элементами правового акта.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3.2.2. Изменения, вносимые в действующий правовой акт, оформляются в виде новых структурных элементов действующих структурных единиц и располагаются в зависимости от логики изложения текста в правовом акте.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В целях сохранения целостности структурной единицы правового акта: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дополнение в виде структурного элемента производится в конце соответствующей структурной единицы правового акта;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при необходимости включения между уже имеющимися структурными элементами нового структурного элемента дается новая редакция той структурной единицы, к которой относится структурный элемент;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при внесении изменений в виде включения новой структурной единицы между имеющимися структурными единицами правового акта нумерация структурных единиц производится с указанием номера предыдущей структурной единицы и добавлением после точки арабской цифры, начиная с единицы.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При признании структурной единицы утратившей силу пересчет последующих структурных единиц не производится. Утратившая силу структурная единица участвует в подсчете при последующем внесении изменений в правовой акт.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Указанные правила применяются при исключении структурного элемента из проекта правового акта.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3.2.3. При внесении изменений в правовые акты следует учитывать, что: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пункты и подпункты в проекте правового акта дополняются словами; излагаются в следующей редакции; признаются утратившими силу;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абзацы в проекте правового акта дополняются словами, цифрами, излагаются в </w:t>
      </w:r>
      <w:r w:rsidRPr="00F1060A">
        <w:lastRenderedPageBreak/>
        <w:t>новой редакции, исключаются;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слова, цифры в проекте правового акта заменяются и исключаются;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разделы, подразделы в проекте правового акта дополняются пунктами (если нет пунктов, то абзацами в конце раздела); излагаются в новой редакции, признаются утратившими силу.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3.2.4. Замена слов, цифр в правовом акте осуществляется путем указания конкретных структурных единиц, структурных элементов правового акта, в которых заменяются слова.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3.2.5. Изменения вносятся только в основной правовой акт. Недопустимо внесение изменений в основной правовой акт путем внесения изменений в изменяющие его правовые акты, при этом правовые акты, которыми изменялся основной правовой акт, подлежат признанию утратившими силу полностью или частично.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Правовой акт о внесении изменений или о признании утратившим силу ранее изданного акта принимается в той же форме, что и ранее принятый правовой акт.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3.2.6. При внесении изменений в основной правовой акт и правовые акты, предусматривающие внесение изменений в основной правовой акт, в заголовке проекта правового акта следует указывать заголовок и реквизиты основного правового акта.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При внесении изменений в несколько основных правовых актов один проект правового акта о внесении в них изменений следует оформлять, если предмет правового регулирования основных правовых актов взаимосвязан. При этом в заголовке проекта правового акта о внесении изменений необходимо указать область (сферу, вопросы), которую регулируют основные правовые акты.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3.2.7. При внесении изменений в приложение к правовому акту новый правовой акт оформляется как внесение изменений в основной правовой акт.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При внесении изменений</w:t>
      </w:r>
      <w:r w:rsidR="00447EB2" w:rsidRPr="00F1060A">
        <w:t>,</w:t>
      </w:r>
      <w:r w:rsidRPr="00F1060A">
        <w:t xml:space="preserve"> как в текст правового акта, так и в приложение к нему, принимается правовой акт о внесении изменений в основной правовой акт, в котором одновременно решается вопрос об изменении основного правового акта и изменении приложения к нему.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При необходимости изложения в новой редакции структурной единицы правового акта, имеющей ссылку на приложение, когда в новой редакции названной структурной единицы подобная ссылка уже отсутствует, приложение к правовому акту считается признанным утратившим силу и в дополнительном признании его утратившим силу не нуждается.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Указанные правила применяются в случае признания утратившими силу приложений к приложениям к правовому акту.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3.2.8. В случае</w:t>
      </w:r>
      <w:r w:rsidR="00447EB2" w:rsidRPr="00F1060A">
        <w:t>,</w:t>
      </w:r>
      <w:r w:rsidRPr="00F1060A">
        <w:t xml:space="preserve"> когда в правовой акт требуется внести </w:t>
      </w:r>
      <w:r w:rsidR="00447EB2" w:rsidRPr="00F1060A">
        <w:t>значительное</w:t>
      </w:r>
      <w:r w:rsidRPr="00F1060A">
        <w:t xml:space="preserve"> количество изменений, такой правовой акт следует признать утратившим силу, а взамен него принять новый правовой акт.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3.2.9. Если в правовом акте, который необходимо признать утратившим силу в полном объеме, содержится структурная единица о признании утратившим силу другого правового акта, следует признать утратившим силу отдельные структурные единицы правового акта (не включая в них структурные единицы, содержащие положение о признании утратившим силу другого правового акта, об официальном опубликовании и вступлении в силу правового акта).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Одновременно подлежит оценке необходимость признания утратившими силу правовых актов, которые признавали утратившими силу отдельные структурные единицы основного правового акта.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3.2.10. В случае необходимости включения в правовой акт, в котором было только одно приложение, дополнительных приложений необходимо: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в соответствующем пункте правового акта заменить слова "согласно приложению" или "согласно приложению N 1";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дополнить правовой акт новой структурной единицей, предусматривающей утверждение дополнительного приложения (например, приложение N 2).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При этом гриф утверждения приложения N 1 не нуждается в изложении в новой </w:t>
      </w:r>
      <w:r w:rsidRPr="00F1060A">
        <w:lastRenderedPageBreak/>
        <w:t>редакции.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3.2.11. В случае необходимости изменения заголовка приложения к правовому акту такое изменение осуществляется путем внесения изменения в пункт правового акта, утверждающий приложение.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При этом в текст приложения к правовому акту изменение (в части изменения заголовка приложения) не вносится.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3.2.12. При внесении изменений в приложение к правовому акту необходимо указывать его заголовок полностью (независимо от количества приложений).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Однако при внесении изменений в приложение к приложению к правовому акту необходимо указывать слова "в приложении" или "приложении N 1" (то есть не использовать заголовок приложения к приложению).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368AF" w:rsidRPr="00F1060A" w:rsidRDefault="004368AF" w:rsidP="004368A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060A">
        <w:rPr>
          <w:b/>
        </w:rPr>
        <w:t>4.  ПОРЯДОК ИЗДАНИЯ, ВСТУПЛЕНИЯ В СИЛУ И ОПУБЛИКОВАНИЯ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060A">
        <w:rPr>
          <w:b/>
        </w:rPr>
        <w:t>ПРАВОВЫХ АКТОВ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4.1. Порядок издания</w:t>
      </w:r>
      <w:r w:rsidR="00FB32F6" w:rsidRPr="00F1060A">
        <w:t xml:space="preserve"> правовых актов определяется в И</w:t>
      </w:r>
      <w:r w:rsidRPr="00F1060A">
        <w:t xml:space="preserve">нструкции по делопроизводству, утверждаемой </w:t>
      </w:r>
      <w:r w:rsidR="001424B6" w:rsidRPr="00F1060A">
        <w:t>Руководителем администрации</w:t>
      </w:r>
      <w:r w:rsidR="00FB32F6" w:rsidRPr="00F1060A">
        <w:t xml:space="preserve"> СП Хатанга</w:t>
      </w:r>
      <w:r w:rsidRPr="00F1060A">
        <w:t>.</w:t>
      </w:r>
    </w:p>
    <w:p w:rsidR="00680FCC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>4.2. Датой принятия постановления</w:t>
      </w:r>
      <w:r w:rsidR="00FB32F6" w:rsidRPr="00F1060A">
        <w:t>, распоряжения</w:t>
      </w:r>
      <w:r w:rsidRPr="00F1060A">
        <w:t xml:space="preserve"> </w:t>
      </w:r>
      <w:r w:rsidR="00680FCC" w:rsidRPr="00F1060A">
        <w:t xml:space="preserve">Руководителя администрации </w:t>
      </w:r>
      <w:r w:rsidR="00471677" w:rsidRPr="00F1060A">
        <w:t xml:space="preserve">СП Хатанга </w:t>
      </w:r>
      <w:r w:rsidR="00680FCC" w:rsidRPr="00F1060A">
        <w:t xml:space="preserve">считается день его подписания,  если </w:t>
      </w:r>
      <w:r w:rsidR="00134BE1" w:rsidRPr="00F1060A">
        <w:t>в самом постановлении</w:t>
      </w:r>
      <w:r w:rsidR="00A652E6" w:rsidRPr="00F1060A">
        <w:t xml:space="preserve"> не указан иной срок</w:t>
      </w:r>
      <w:r w:rsidR="00134BE1" w:rsidRPr="00F1060A">
        <w:t>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4.3. Нормативные правовые акты </w:t>
      </w:r>
      <w:r w:rsidR="00680FCC" w:rsidRPr="00F1060A">
        <w:t xml:space="preserve">Руководителя администрации </w:t>
      </w:r>
      <w:r w:rsidR="00471677" w:rsidRPr="00F1060A">
        <w:t xml:space="preserve">СП Хатанга </w:t>
      </w:r>
      <w:r w:rsidRPr="00F1060A">
        <w:t xml:space="preserve">официально публикуются </w:t>
      </w:r>
      <w:r w:rsidR="00D66E77" w:rsidRPr="00F1060A">
        <w:t>по мере необходимости</w:t>
      </w:r>
      <w:r w:rsidRPr="00F1060A">
        <w:t>,</w:t>
      </w:r>
      <w:r w:rsidR="00D66E77" w:rsidRPr="00F1060A">
        <w:t xml:space="preserve"> но не реже одного раза в квартал,</w:t>
      </w:r>
      <w:r w:rsidRPr="00F1060A">
        <w:t xml:space="preserve"> если иное не установлено </w:t>
      </w:r>
      <w:r w:rsidR="00D66E77" w:rsidRPr="00F1060A">
        <w:t xml:space="preserve">решением Хатангского </w:t>
      </w:r>
      <w:r w:rsidR="00447EB2" w:rsidRPr="00F1060A">
        <w:t xml:space="preserve">сельского </w:t>
      </w:r>
      <w:r w:rsidR="00D66E77" w:rsidRPr="00F1060A">
        <w:t>Совета депутатов.</w:t>
      </w:r>
    </w:p>
    <w:p w:rsidR="00447EB2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Официальным опубликованием нормативного правового акта </w:t>
      </w:r>
      <w:r w:rsidR="00D66E77" w:rsidRPr="00F1060A">
        <w:t>Руководителя администрации</w:t>
      </w:r>
      <w:r w:rsidRPr="00F1060A">
        <w:t xml:space="preserve"> </w:t>
      </w:r>
      <w:r w:rsidR="00471677" w:rsidRPr="00F1060A">
        <w:t xml:space="preserve">СП Хатанга </w:t>
      </w:r>
      <w:r w:rsidRPr="00F1060A">
        <w:t xml:space="preserve">считается первая публикация его полного текста в </w:t>
      </w:r>
      <w:r w:rsidR="00B85F1A" w:rsidRPr="00F1060A">
        <w:t>И</w:t>
      </w:r>
      <w:r w:rsidR="00B45ADB" w:rsidRPr="00F1060A">
        <w:t xml:space="preserve">нформационном бюллетене – официальном издании Хатангского </w:t>
      </w:r>
      <w:r w:rsidR="00447EB2" w:rsidRPr="00F1060A">
        <w:t xml:space="preserve">сельского </w:t>
      </w:r>
      <w:r w:rsidR="00B45ADB" w:rsidRPr="00F1060A">
        <w:t>Совета депутатов и администрации сельского поселения Хатанга.</w:t>
      </w:r>
      <w:r w:rsidRPr="00F1060A">
        <w:t xml:space="preserve"> 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Тексты </w:t>
      </w:r>
      <w:r w:rsidR="00221C72" w:rsidRPr="00F1060A">
        <w:t xml:space="preserve">нормативно </w:t>
      </w:r>
      <w:r w:rsidRPr="00F1060A">
        <w:t xml:space="preserve">правовых актов, принятых органами </w:t>
      </w:r>
      <w:r w:rsidR="00B85F1A" w:rsidRPr="00F1060A">
        <w:t>местного самоуправления</w:t>
      </w:r>
      <w:r w:rsidRPr="00F1060A">
        <w:t xml:space="preserve">, опубликованные </w:t>
      </w:r>
      <w:r w:rsidR="00B85F1A" w:rsidRPr="00F1060A">
        <w:t xml:space="preserve">в официальном печатном издании Хатангского </w:t>
      </w:r>
      <w:r w:rsidR="00447EB2" w:rsidRPr="00F1060A">
        <w:t xml:space="preserve">сельского </w:t>
      </w:r>
      <w:r w:rsidR="00B85F1A" w:rsidRPr="00F1060A">
        <w:t>Совета депутатов и администрации сельского поселения Хатанга – Информационном бюллетене,</w:t>
      </w:r>
      <w:r w:rsidRPr="00F1060A">
        <w:t xml:space="preserve"> являются официальными документами, на которые можно ссылаться в юридической практике.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При введении в действие нормативных правовых актов </w:t>
      </w:r>
      <w:r w:rsidR="00134BE1" w:rsidRPr="00F1060A">
        <w:t>Руководителя администрации</w:t>
      </w:r>
      <w:r w:rsidRPr="00F1060A">
        <w:t>, предусматривающих неотложные меры, указанные акты могут применяться до их официального опубликования, за исключением актов по вопросам защиты прав и свобод человека и гражданина.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Придание обратной силы правовым актам </w:t>
      </w:r>
      <w:r w:rsidR="00134BE1" w:rsidRPr="00F1060A">
        <w:t>Руководителям администрации</w:t>
      </w:r>
      <w:r w:rsidRPr="00F1060A">
        <w:t xml:space="preserve"> осуществляется в случаях, прямо предусмотренных в федеральных законах.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Не подлежат опубликованию нормативные правовые акты </w:t>
      </w:r>
      <w:r w:rsidR="00134BE1" w:rsidRPr="00F1060A">
        <w:t>Руководителя администрации</w:t>
      </w:r>
      <w:r w:rsidRPr="00F1060A">
        <w:t xml:space="preserve"> или отдельные положения указанных правовых актов, содержащие составляющие государственную тайну сведения и иные не подлежащие разглашению в соответствии с федеральными нормативными правовыми актами сведения.</w:t>
      </w:r>
    </w:p>
    <w:p w:rsidR="004368AF" w:rsidRPr="00F1060A" w:rsidRDefault="004368AF" w:rsidP="004368AF">
      <w:pPr>
        <w:widowControl w:val="0"/>
        <w:autoSpaceDE w:val="0"/>
        <w:autoSpaceDN w:val="0"/>
        <w:adjustRightInd w:val="0"/>
        <w:ind w:firstLine="540"/>
        <w:jc w:val="both"/>
      </w:pPr>
      <w:r w:rsidRPr="00F1060A">
        <w:t xml:space="preserve">4.4. Нормативные правовые акты </w:t>
      </w:r>
      <w:r w:rsidR="00134BE1" w:rsidRPr="00F1060A">
        <w:t>Руководителя администрации</w:t>
      </w:r>
      <w:r w:rsidRPr="00F1060A">
        <w:t xml:space="preserve"> вступают в силу не ранее </w:t>
      </w:r>
      <w:r w:rsidR="00134BE1" w:rsidRPr="00F1060A">
        <w:t>дня их</w:t>
      </w:r>
      <w:r w:rsidRPr="00F1060A">
        <w:t xml:space="preserve"> официального опубликования, если в самом нормативном правовом акте не указан иной срок вступления в силу. В любом случае этот срок не должен наступать ранее дня, следующего за днем официального опубликования нормативного правового акта </w:t>
      </w:r>
      <w:r w:rsidR="00134BE1" w:rsidRPr="00F1060A">
        <w:t>Руководителя администрации</w:t>
      </w:r>
      <w:r w:rsidRPr="00F1060A">
        <w:t>.</w:t>
      </w:r>
    </w:p>
    <w:p w:rsidR="00FB32F6" w:rsidRPr="00F1060A" w:rsidRDefault="004368AF" w:rsidP="004C0CC2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0"/>
          <w:szCs w:val="20"/>
        </w:rPr>
      </w:pPr>
      <w:r w:rsidRPr="00F1060A">
        <w:t xml:space="preserve">4.5. </w:t>
      </w:r>
      <w:r w:rsidR="00B85F1A" w:rsidRPr="00F1060A">
        <w:t>Проекты нормативных правовых</w:t>
      </w:r>
      <w:r w:rsidRPr="00F1060A">
        <w:t xml:space="preserve"> акт</w:t>
      </w:r>
      <w:r w:rsidR="00B85F1A" w:rsidRPr="00F1060A">
        <w:t>ов, утвержденные нормати</w:t>
      </w:r>
      <w:r w:rsidR="00447EB2" w:rsidRPr="00F1060A">
        <w:t>вные</w:t>
      </w:r>
      <w:r w:rsidR="00B85F1A" w:rsidRPr="00F1060A">
        <w:t xml:space="preserve"> правовые акты направляются в органы  прокуратуры,  в соответствии с соглашением, одной из сторон которых является </w:t>
      </w:r>
      <w:r w:rsidR="00471677" w:rsidRPr="00F1060A">
        <w:t>а</w:t>
      </w:r>
      <w:r w:rsidR="00B85F1A" w:rsidRPr="00F1060A">
        <w:t>дминистрация</w:t>
      </w:r>
      <w:r w:rsidR="00471677" w:rsidRPr="00F1060A">
        <w:t xml:space="preserve"> СП Хатанга</w:t>
      </w:r>
      <w:r w:rsidR="009617FB" w:rsidRPr="00F1060A">
        <w:t>.</w:t>
      </w:r>
    </w:p>
    <w:p w:rsidR="00FB32F6" w:rsidRPr="00F1060A" w:rsidRDefault="00FB32F6" w:rsidP="00B85F1A">
      <w:pPr>
        <w:pStyle w:val="a6"/>
        <w:ind w:firstLine="6379"/>
        <w:rPr>
          <w:b/>
          <w:sz w:val="20"/>
          <w:szCs w:val="20"/>
        </w:rPr>
      </w:pPr>
    </w:p>
    <w:p w:rsidR="00FF556D" w:rsidRPr="00F1060A" w:rsidRDefault="00FF556D">
      <w:pPr>
        <w:pStyle w:val="a6"/>
        <w:ind w:firstLine="6379"/>
        <w:rPr>
          <w:b/>
          <w:sz w:val="20"/>
          <w:szCs w:val="20"/>
        </w:rPr>
      </w:pPr>
    </w:p>
    <w:sectPr w:rsidR="00FF556D" w:rsidRPr="00F1060A" w:rsidSect="00D0207C">
      <w:type w:val="continuous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2BB" w:rsidRDefault="001C22BB" w:rsidP="00D0207C">
      <w:r>
        <w:separator/>
      </w:r>
    </w:p>
  </w:endnote>
  <w:endnote w:type="continuationSeparator" w:id="0">
    <w:p w:rsidR="001C22BB" w:rsidRDefault="001C22BB" w:rsidP="00D0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2BB" w:rsidRDefault="001C22BB" w:rsidP="00D0207C">
      <w:r>
        <w:separator/>
      </w:r>
    </w:p>
  </w:footnote>
  <w:footnote w:type="continuationSeparator" w:id="0">
    <w:p w:rsidR="001C22BB" w:rsidRDefault="001C22BB" w:rsidP="00D02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8923E2B"/>
    <w:multiLevelType w:val="hybridMultilevel"/>
    <w:tmpl w:val="051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477"/>
    <w:rsid w:val="00012AC5"/>
    <w:rsid w:val="00062477"/>
    <w:rsid w:val="00083FCB"/>
    <w:rsid w:val="00087B25"/>
    <w:rsid w:val="00101C0E"/>
    <w:rsid w:val="00134BE1"/>
    <w:rsid w:val="00137B4A"/>
    <w:rsid w:val="001424B6"/>
    <w:rsid w:val="00173D1B"/>
    <w:rsid w:val="001951BF"/>
    <w:rsid w:val="001A6C4C"/>
    <w:rsid w:val="001C22BB"/>
    <w:rsid w:val="002000DC"/>
    <w:rsid w:val="002063E3"/>
    <w:rsid w:val="00220979"/>
    <w:rsid w:val="00221C72"/>
    <w:rsid w:val="002A06C1"/>
    <w:rsid w:val="002A4C3D"/>
    <w:rsid w:val="002B6576"/>
    <w:rsid w:val="002D655D"/>
    <w:rsid w:val="003123C1"/>
    <w:rsid w:val="00334C2B"/>
    <w:rsid w:val="00341F73"/>
    <w:rsid w:val="00357E40"/>
    <w:rsid w:val="00374152"/>
    <w:rsid w:val="003A4971"/>
    <w:rsid w:val="003E5F0C"/>
    <w:rsid w:val="00410A8A"/>
    <w:rsid w:val="004368AF"/>
    <w:rsid w:val="00447EB2"/>
    <w:rsid w:val="00471677"/>
    <w:rsid w:val="00476FC2"/>
    <w:rsid w:val="004965AB"/>
    <w:rsid w:val="004A07A2"/>
    <w:rsid w:val="004B0BAF"/>
    <w:rsid w:val="004B2FE7"/>
    <w:rsid w:val="004C0CC2"/>
    <w:rsid w:val="004E066F"/>
    <w:rsid w:val="004F4165"/>
    <w:rsid w:val="0057548D"/>
    <w:rsid w:val="00590FB8"/>
    <w:rsid w:val="005959C9"/>
    <w:rsid w:val="005D3DB6"/>
    <w:rsid w:val="005E3D34"/>
    <w:rsid w:val="005F453B"/>
    <w:rsid w:val="0063036B"/>
    <w:rsid w:val="006767E2"/>
    <w:rsid w:val="00680FCC"/>
    <w:rsid w:val="006A6FFD"/>
    <w:rsid w:val="006B6C4E"/>
    <w:rsid w:val="006C4D0E"/>
    <w:rsid w:val="00715554"/>
    <w:rsid w:val="00746C1A"/>
    <w:rsid w:val="0077124F"/>
    <w:rsid w:val="007E11E3"/>
    <w:rsid w:val="0093481A"/>
    <w:rsid w:val="00935AD0"/>
    <w:rsid w:val="009617FB"/>
    <w:rsid w:val="00971DDA"/>
    <w:rsid w:val="009A1333"/>
    <w:rsid w:val="00A17C22"/>
    <w:rsid w:val="00A61254"/>
    <w:rsid w:val="00A652E6"/>
    <w:rsid w:val="00AA6810"/>
    <w:rsid w:val="00B02D48"/>
    <w:rsid w:val="00B1648A"/>
    <w:rsid w:val="00B45ADB"/>
    <w:rsid w:val="00B51BBA"/>
    <w:rsid w:val="00B65E63"/>
    <w:rsid w:val="00B85F1A"/>
    <w:rsid w:val="00C22626"/>
    <w:rsid w:val="00CC093B"/>
    <w:rsid w:val="00D0207C"/>
    <w:rsid w:val="00D66E77"/>
    <w:rsid w:val="00D6725D"/>
    <w:rsid w:val="00D73357"/>
    <w:rsid w:val="00D73746"/>
    <w:rsid w:val="00D748F0"/>
    <w:rsid w:val="00DB35E1"/>
    <w:rsid w:val="00DE1011"/>
    <w:rsid w:val="00DE1874"/>
    <w:rsid w:val="00E00B8F"/>
    <w:rsid w:val="00E126D4"/>
    <w:rsid w:val="00E20F64"/>
    <w:rsid w:val="00E33794"/>
    <w:rsid w:val="00E64E51"/>
    <w:rsid w:val="00E666CA"/>
    <w:rsid w:val="00EE1186"/>
    <w:rsid w:val="00F1060A"/>
    <w:rsid w:val="00F53D8C"/>
    <w:rsid w:val="00F72F33"/>
    <w:rsid w:val="00F91C94"/>
    <w:rsid w:val="00F93C5A"/>
    <w:rsid w:val="00FA1D0D"/>
    <w:rsid w:val="00FB32F6"/>
    <w:rsid w:val="00FC20F3"/>
    <w:rsid w:val="00FC6A26"/>
    <w:rsid w:val="00FD124F"/>
    <w:rsid w:val="00FD27C7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20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E79D5F1897BB747E8E207CA5855D195D5DDE14CA4A96C64A5DA58E121FC8CAH172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E79D5F1897BB747E8E3E71B3E902165C5E871CC91CCC924657F0HD76D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2;&#1086;&#1080;%20&#1076;&#1086;&#1082;&#1091;&#1084;&#1077;&#1085;&#1090;&#1099;\&#1055;&#1086;&#1088;&#1103;&#1076;&#1086;&#1082;%20&#1087;&#1086;&#1076;&#1075;&#1086;&#1090;&#1086;&#1074;&#1082;&#1080;%20&#1087;&#1088;&#1072;&#1074;&#1086;&#1074;&#1099;&#1093;%20&#1072;&#1082;&#1090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7D44-42DC-42E8-85CC-E40BF2CD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с.п.Хатанга</Company>
  <LinksUpToDate>false</LinksUpToDate>
  <CharactersWithSpaces>21677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Dudenko</cp:lastModifiedBy>
  <cp:revision>48</cp:revision>
  <cp:lastPrinted>2012-10-17T02:08:00Z</cp:lastPrinted>
  <dcterms:created xsi:type="dcterms:W3CDTF">2012-01-31T02:04:00Z</dcterms:created>
  <dcterms:modified xsi:type="dcterms:W3CDTF">2013-07-11T08:32:00Z</dcterms:modified>
</cp:coreProperties>
</file>