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Default="000900DB" w:rsidP="000900D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9205E" w:rsidRPr="002F5D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47700"/>
            <wp:effectExtent l="19050" t="0" r="0" b="0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00" w:rsidRPr="002F5D6B" w:rsidRDefault="009A5F00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E" w:rsidRPr="009A5F00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A5F0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РОССИЙСКАЯ  ФЕДЕРАЦИЯ</w:t>
      </w:r>
    </w:p>
    <w:p w:rsidR="0009205E" w:rsidRPr="009A5F00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A5F0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КРАСНОЯРСКИЙ КРАЙ</w:t>
      </w:r>
    </w:p>
    <w:p w:rsidR="0009205E" w:rsidRPr="002F5D6B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ТАЙМЫРСКИЙ ДОЛГАНО-НЕНЕЦКИЙ МУНИЦИПАЛЬНЫЙ РАЙОН</w:t>
      </w:r>
    </w:p>
    <w:p w:rsidR="0009205E" w:rsidRPr="002F5D6B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СЕЛЬСКОГО ПОСЕЛЕНИЯ ХАТАНГА</w:t>
      </w:r>
    </w:p>
    <w:p w:rsidR="0009205E" w:rsidRDefault="0009205E" w:rsidP="009A5F0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F00" w:rsidRPr="009A5F00" w:rsidRDefault="009A5F00" w:rsidP="009A5F0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05E" w:rsidRPr="002F5D6B" w:rsidRDefault="000900DB" w:rsidP="009A5F00">
      <w:pPr>
        <w:pStyle w:val="a7"/>
        <w:jc w:val="center"/>
        <w:rPr>
          <w:b/>
          <w:spacing w:val="20"/>
          <w:lang w:eastAsia="ru-RU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  <w:lang w:eastAsia="ru-RU"/>
        </w:rPr>
        <w:t xml:space="preserve">    </w:t>
      </w:r>
      <w:r w:rsidR="0009205E" w:rsidRPr="009A5F00">
        <w:rPr>
          <w:rFonts w:ascii="Times New Roman" w:hAnsi="Times New Roman" w:cs="Times New Roman"/>
          <w:b/>
          <w:spacing w:val="20"/>
          <w:sz w:val="24"/>
          <w:szCs w:val="24"/>
          <w:lang w:eastAsia="ru-RU"/>
        </w:rPr>
        <w:t>ПОСТАНОВЛЕНИЕ</w:t>
      </w:r>
    </w:p>
    <w:p w:rsidR="0009205E" w:rsidRPr="002F5D6B" w:rsidRDefault="0009205E" w:rsidP="002F5D6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478"/>
        <w:gridCol w:w="5093"/>
      </w:tblGrid>
      <w:tr w:rsidR="0009205E" w:rsidRPr="002F5D6B" w:rsidTr="00E63B49">
        <w:tc>
          <w:tcPr>
            <w:tcW w:w="4785" w:type="dxa"/>
          </w:tcPr>
          <w:p w:rsidR="0009205E" w:rsidRPr="002F5D6B" w:rsidRDefault="00B604D5" w:rsidP="00B604D5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9205E" w:rsidRPr="002F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9205E" w:rsidRPr="002F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3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205E" w:rsidRPr="002F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</w:tcPr>
          <w:p w:rsidR="0009205E" w:rsidRPr="002F5D6B" w:rsidRDefault="00DC13FA" w:rsidP="00932D02">
            <w:pPr>
              <w:suppressAutoHyphens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05E" w:rsidRPr="002F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6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016 </w:t>
            </w:r>
            <w:r w:rsidR="0009205E" w:rsidRPr="002F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09205E" w:rsidRPr="002F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09205E" w:rsidRPr="002F5D6B" w:rsidRDefault="0009205E" w:rsidP="002F5D6B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E" w:rsidRPr="002F5D6B" w:rsidRDefault="00932D02" w:rsidP="00B604D5">
      <w:pPr>
        <w:tabs>
          <w:tab w:val="left" w:pos="4820"/>
          <w:tab w:val="left" w:pos="510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СП Хатанга от 30.12.2013г. </w:t>
      </w:r>
      <w:r w:rsidR="00B60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197-П «Об утверждении Положения о закупке для нужд Заказчиков сельского поселения Хатанга»</w:t>
      </w:r>
    </w:p>
    <w:p w:rsidR="00FE6C89" w:rsidRPr="002F5D6B" w:rsidRDefault="00FE6C89" w:rsidP="002F5D6B">
      <w:pPr>
        <w:tabs>
          <w:tab w:val="left" w:pos="4820"/>
          <w:tab w:val="left" w:pos="510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02" w:rsidRDefault="00932D02" w:rsidP="009A5F00">
      <w:pPr>
        <w:spacing w:after="12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21A2"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5921A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закон от 05.04.2013г. № 44-ФЗ </w:t>
      </w:r>
      <w:r w:rsidRPr="002F5D6B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2D02" w:rsidRDefault="00932D02" w:rsidP="009A5F00">
      <w:pPr>
        <w:spacing w:after="12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05E" w:rsidRPr="002F5D6B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ПОСТАНОВЛЯЮ:</w:t>
      </w:r>
    </w:p>
    <w:p w:rsidR="0009205E" w:rsidRPr="002F5D6B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D02" w:rsidRDefault="00932D02" w:rsidP="00932D02">
      <w:pPr>
        <w:pStyle w:val="a5"/>
        <w:numPr>
          <w:ilvl w:val="0"/>
          <w:numId w:val="2"/>
        </w:numPr>
        <w:tabs>
          <w:tab w:val="left" w:pos="4820"/>
          <w:tab w:val="left" w:pos="51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СП Хатанга от 30.12.2013г. № 197-П «Об утверждении Положения о закупке для нужд Заказчиков сельского поселения Хатанга»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E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Постановление) следующие изменения и дополнения:</w:t>
      </w:r>
    </w:p>
    <w:p w:rsidR="00932D02" w:rsidRDefault="00876467" w:rsidP="00932D02">
      <w:pPr>
        <w:pStyle w:val="a5"/>
        <w:numPr>
          <w:ilvl w:val="1"/>
          <w:numId w:val="2"/>
        </w:numPr>
        <w:tabs>
          <w:tab w:val="left" w:pos="4820"/>
          <w:tab w:val="left" w:pos="51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5B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Постановлению:</w:t>
      </w:r>
    </w:p>
    <w:p w:rsidR="00876467" w:rsidRDefault="00876467" w:rsidP="00544C2B">
      <w:pPr>
        <w:pStyle w:val="a5"/>
        <w:numPr>
          <w:ilvl w:val="2"/>
          <w:numId w:val="2"/>
        </w:numPr>
        <w:tabs>
          <w:tab w:val="left" w:pos="1134"/>
          <w:tab w:val="left" w:pos="1843"/>
        </w:tabs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3.5. после слов «…в соответствии с частями 9 и 10 статьи 31 Закона о контрактной системе» добавить абзац «-  получение Заказчиком решения контрольного органа в сфере закупок об отказе в согласовании заключения контракта с единственным поставщиком (подрядчиком, исполнителем), а в случае проведения электронного аукциона получение оператором электронной площадки от Заказчика указанного решения, направляемого не позднее рабочего дня, следующего после</w:t>
      </w:r>
      <w:proofErr w:type="gramEnd"/>
      <w:r w:rsidRPr="0087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получения Заказчиком указанного решения».</w:t>
      </w:r>
    </w:p>
    <w:p w:rsidR="00876467" w:rsidRDefault="00876C87" w:rsidP="00544C2B">
      <w:pPr>
        <w:pStyle w:val="a5"/>
        <w:numPr>
          <w:ilvl w:val="2"/>
          <w:numId w:val="2"/>
        </w:numPr>
        <w:tabs>
          <w:tab w:val="left" w:pos="284"/>
          <w:tab w:val="left" w:pos="1134"/>
          <w:tab w:val="left" w:pos="1843"/>
        </w:tabs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r w:rsidR="0087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 «</w:t>
      </w:r>
      <w:r w:rsidRPr="008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87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закупки у единственного поставщика (подрядчика, исполнителя) в случаях, предусмотренных параграфом 3 главы 3 (если начальная (максимальная) цена контракта не превышает пятьсот тысяч рублей), пунктами 2, 3, 7, 9, 10 части 2 статьи 83, пунктами 1, 2 (если правовыми актами, предусмотренными указанным пунктом, не предусмотрена обязанность заказчика установить требование обеспечения исполнения контракта), 4 - 11, 13 - 15, 17, 20 - 23, 26</w:t>
      </w:r>
      <w:proofErr w:type="gramEnd"/>
      <w:r w:rsidRPr="008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28 - 34 части 1 статьи 93 </w:t>
      </w:r>
      <w:r w:rsidR="00592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Pr="0087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 вправе установить требование обеспечения исполнения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6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C87" w:rsidRDefault="00C44665" w:rsidP="00544C2B">
      <w:pPr>
        <w:pStyle w:val="a5"/>
        <w:numPr>
          <w:ilvl w:val="2"/>
          <w:numId w:val="2"/>
        </w:numPr>
        <w:tabs>
          <w:tab w:val="left" w:pos="1134"/>
          <w:tab w:val="left" w:pos="1843"/>
        </w:tabs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F72D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5.1.6. дополнить</w:t>
      </w:r>
      <w:r w:rsidR="0059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 4 следующего содержания</w:t>
      </w:r>
      <w:r w:rsidR="00F7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 4) </w:t>
      </w:r>
      <w:r w:rsidR="00F72D4D" w:rsidRPr="00F7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6 статьи 54 </w:t>
      </w:r>
      <w:r w:rsidR="00592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="00F72D4D" w:rsidRPr="00F7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участник конкурса, заявке на </w:t>
      </w:r>
      <w:proofErr w:type="gramStart"/>
      <w:r w:rsidR="00F72D4D" w:rsidRPr="00F72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72D4D" w:rsidRPr="00F7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второй номер, от</w:t>
      </w:r>
      <w:r w:rsidR="00F72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казался от заключения контракта».</w:t>
      </w:r>
    </w:p>
    <w:p w:rsidR="005B1453" w:rsidRDefault="0059275C" w:rsidP="00544C2B">
      <w:pPr>
        <w:pStyle w:val="a5"/>
        <w:numPr>
          <w:ilvl w:val="2"/>
          <w:numId w:val="2"/>
        </w:numPr>
        <w:tabs>
          <w:tab w:val="left" w:pos="1843"/>
          <w:tab w:val="left" w:pos="5103"/>
        </w:tabs>
        <w:spacing w:after="0" w:line="240" w:lineRule="auto"/>
        <w:ind w:left="1134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5.3</w:t>
      </w:r>
      <w:r w:rsidR="005B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59275C" w:rsidRPr="005B1453" w:rsidRDefault="005B1453" w:rsidP="005B1453">
      <w:pPr>
        <w:tabs>
          <w:tab w:val="left" w:pos="4820"/>
          <w:tab w:val="left" w:pos="5103"/>
        </w:tabs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9275C" w:rsidRPr="005B1453">
        <w:rPr>
          <w:rFonts w:ascii="Times New Roman" w:hAnsi="Times New Roman" w:cs="Times New Roman"/>
          <w:b/>
          <w:bCs/>
          <w:sz w:val="24"/>
          <w:szCs w:val="24"/>
        </w:rPr>
        <w:t>5.3. Конкурс с ограниченным участием.</w:t>
      </w:r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lastRenderedPageBreak/>
        <w:t xml:space="preserve">5.3.1.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 xml:space="preserve">Под конкурсом с ограниченным участием понимается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2F5D6B">
        <w:rPr>
          <w:rFonts w:ascii="Times New Roman" w:hAnsi="Times New Roman" w:cs="Times New Roman"/>
          <w:sz w:val="24"/>
          <w:szCs w:val="24"/>
        </w:rPr>
        <w:t>предквалификационный</w:t>
      </w:r>
      <w:proofErr w:type="spellEnd"/>
      <w:r w:rsidRPr="002F5D6B">
        <w:rPr>
          <w:rFonts w:ascii="Times New Roman" w:hAnsi="Times New Roman" w:cs="Times New Roman"/>
          <w:sz w:val="24"/>
          <w:szCs w:val="24"/>
        </w:rPr>
        <w:t xml:space="preserve"> отбор.</w:t>
      </w:r>
      <w:proofErr w:type="gramEnd"/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5.3.2. Проведение конкурса с ограниченным участием применяется в случае, если поставки товаров, выполнение работ, оказание услуг по причине их технической и (или) технологической сложности, инновационного, высокотехнологичного или специализированного характера способны осуществить только поставщики (подрядчики, исполнители), имеющие необходимый уровень квалификации.</w:t>
      </w:r>
    </w:p>
    <w:p w:rsidR="0059275C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 xml:space="preserve">5.3.3.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>Перечень случаев и (или) порядок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устанавливаются Правительством Российской Федерации.</w:t>
      </w:r>
      <w:proofErr w:type="gramEnd"/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F11">
        <w:rPr>
          <w:rFonts w:ascii="Times New Roman" w:hAnsi="Times New Roman" w:cs="Times New Roman"/>
          <w:sz w:val="24"/>
          <w:szCs w:val="24"/>
        </w:rPr>
        <w:t xml:space="preserve">5.3.4. </w:t>
      </w:r>
      <w:proofErr w:type="gramStart"/>
      <w:r w:rsidRPr="00214F11">
        <w:rPr>
          <w:rFonts w:ascii="Times New Roman" w:hAnsi="Times New Roman" w:cs="Times New Roman"/>
          <w:sz w:val="24"/>
          <w:szCs w:val="24"/>
        </w:rPr>
        <w:t>Выполнение работ по сохранению объектов культурного наследия (памятников истории и культуры) народов Российской Федерации,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фондов, выполнения работ, оказания услуг, связанных с необходимостью допуска подрядчиков, исполнителей к учетным базам данных музеев, архивов, библиотек, к</w:t>
      </w:r>
      <w:proofErr w:type="gramEnd"/>
      <w:r w:rsidRPr="00214F11">
        <w:rPr>
          <w:rFonts w:ascii="Times New Roman" w:hAnsi="Times New Roman" w:cs="Times New Roman"/>
          <w:sz w:val="24"/>
          <w:szCs w:val="24"/>
        </w:rPr>
        <w:t xml:space="preserve"> хранилищам (депозитариям) музея, к системам обеспечения безопасности музейных предметов и музейных коллекций, архивных документов, библиотечного фонда.</w:t>
      </w:r>
    </w:p>
    <w:p w:rsidR="0059275C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5D6B">
        <w:rPr>
          <w:rFonts w:ascii="Times New Roman" w:hAnsi="Times New Roman" w:cs="Times New Roman"/>
          <w:sz w:val="24"/>
          <w:szCs w:val="24"/>
        </w:rPr>
        <w:t xml:space="preserve">. При проведении конкурса с ограниченным участием применяются положения </w:t>
      </w:r>
      <w:hyperlink r:id="rId6" w:history="1">
        <w:r w:rsidRPr="002F5D6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F5D6B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Положения о проведении открытого конкурса с учетом нижеприведенных особенностей.</w:t>
      </w:r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4F11">
        <w:rPr>
          <w:rFonts w:ascii="Times New Roman" w:hAnsi="Times New Roman" w:cs="Times New Roman"/>
          <w:sz w:val="24"/>
          <w:szCs w:val="24"/>
        </w:rPr>
        <w:t xml:space="preserve">. В отношении участников конкурса с ограниченным участием наряду с требованиями, установленными частью 1, частью 1.1 (при наличии такого требования) статьи 31 </w:t>
      </w:r>
      <w:r w:rsidR="005921A2" w:rsidRPr="005921A2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proofErr w:type="gramStart"/>
      <w:r w:rsidR="005921A2" w:rsidRPr="005921A2">
        <w:rPr>
          <w:rFonts w:ascii="Times New Roman" w:hAnsi="Times New Roman" w:cs="Times New Roman"/>
          <w:sz w:val="24"/>
          <w:szCs w:val="24"/>
        </w:rPr>
        <w:t xml:space="preserve"> </w:t>
      </w:r>
      <w:r w:rsidRPr="00214F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4F11">
        <w:rPr>
          <w:rFonts w:ascii="Times New Roman" w:hAnsi="Times New Roman" w:cs="Times New Roman"/>
          <w:sz w:val="24"/>
          <w:szCs w:val="24"/>
        </w:rPr>
        <w:t xml:space="preserve"> предъявляются дополнительные требования в соответствии с частью 2 статьи 31 </w:t>
      </w:r>
      <w:r w:rsidR="005921A2" w:rsidRPr="005921A2">
        <w:rPr>
          <w:rFonts w:ascii="Times New Roman" w:hAnsi="Times New Roman" w:cs="Times New Roman"/>
          <w:sz w:val="24"/>
          <w:szCs w:val="24"/>
        </w:rPr>
        <w:t xml:space="preserve">Закона о контрактной системе </w:t>
      </w:r>
      <w:r w:rsidRPr="00214F11">
        <w:rPr>
          <w:rFonts w:ascii="Times New Roman" w:hAnsi="Times New Roman" w:cs="Times New Roman"/>
          <w:sz w:val="24"/>
          <w:szCs w:val="24"/>
        </w:rPr>
        <w:t xml:space="preserve">. При этом дополнительные требования применяются для осуществления </w:t>
      </w:r>
      <w:proofErr w:type="spellStart"/>
      <w:r w:rsidRPr="00214F11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214F11">
        <w:rPr>
          <w:rFonts w:ascii="Times New Roman" w:hAnsi="Times New Roman" w:cs="Times New Roman"/>
          <w:sz w:val="24"/>
          <w:szCs w:val="24"/>
        </w:rPr>
        <w:t xml:space="preserve"> отбора и не могут использоваться в качестве критерия оценки заявок на участие в конкурсе с ограниченным участием.</w:t>
      </w:r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5D6B">
        <w:rPr>
          <w:rFonts w:ascii="Times New Roman" w:hAnsi="Times New Roman" w:cs="Times New Roman"/>
          <w:sz w:val="24"/>
          <w:szCs w:val="24"/>
        </w:rPr>
        <w:t>.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закупки.</w:t>
      </w:r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</w:t>
      </w:r>
      <w:r w:rsidRPr="002F5D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 xml:space="preserve">В течение не более чем десяти рабочих дней с даты вскрытия конвертов с заявками на участие в конкурсе с ограниченным участием и (или) даты открытия доступа к поданным в форме электронных документов заявкам на участие в таком конкурсе конкурсная комиссия проводит </w:t>
      </w:r>
      <w:proofErr w:type="spellStart"/>
      <w:r w:rsidRPr="002F5D6B">
        <w:rPr>
          <w:rFonts w:ascii="Times New Roman" w:hAnsi="Times New Roman" w:cs="Times New Roman"/>
          <w:sz w:val="24"/>
          <w:szCs w:val="24"/>
        </w:rPr>
        <w:t>предквалификационный</w:t>
      </w:r>
      <w:proofErr w:type="spellEnd"/>
      <w:r w:rsidRPr="002F5D6B">
        <w:rPr>
          <w:rFonts w:ascii="Times New Roman" w:hAnsi="Times New Roman" w:cs="Times New Roman"/>
          <w:sz w:val="24"/>
          <w:szCs w:val="24"/>
        </w:rPr>
        <w:t xml:space="preserve"> отбор для выявления Участников закупки, которые соответствуют обязательным и дополнительным требованиям.</w:t>
      </w:r>
      <w:proofErr w:type="gramEnd"/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F5D6B">
        <w:rPr>
          <w:rFonts w:ascii="Times New Roman" w:hAnsi="Times New Roman" w:cs="Times New Roman"/>
          <w:sz w:val="24"/>
          <w:szCs w:val="24"/>
        </w:rPr>
        <w:t xml:space="preserve">. Результаты </w:t>
      </w:r>
      <w:proofErr w:type="spellStart"/>
      <w:r w:rsidRPr="002F5D6B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2F5D6B">
        <w:rPr>
          <w:rFonts w:ascii="Times New Roman" w:hAnsi="Times New Roman" w:cs="Times New Roman"/>
          <w:sz w:val="24"/>
          <w:szCs w:val="24"/>
        </w:rPr>
        <w:t xml:space="preserve"> отбора с обоснованием принятых Единой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2F5D6B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2F5D6B">
        <w:rPr>
          <w:rFonts w:ascii="Times New Roman" w:hAnsi="Times New Roman" w:cs="Times New Roman"/>
          <w:sz w:val="24"/>
          <w:szCs w:val="24"/>
        </w:rPr>
        <w:t xml:space="preserve"> отбора, который размещается Уполномоченным органом (контрактным управляющим Администрации) в единой информационной системе в течение трех рабочих дней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2F5D6B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2F5D6B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2F5D6B">
        <w:rPr>
          <w:rFonts w:ascii="Times New Roman" w:hAnsi="Times New Roman" w:cs="Times New Roman"/>
          <w:sz w:val="24"/>
          <w:szCs w:val="24"/>
        </w:rPr>
        <w:t xml:space="preserve"> отбора.</w:t>
      </w:r>
    </w:p>
    <w:p w:rsidR="0059275C" w:rsidRPr="002F5D6B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F5D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</w:t>
      </w:r>
      <w:proofErr w:type="spellStart"/>
      <w:r w:rsidRPr="002F5D6B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2F5D6B">
        <w:rPr>
          <w:rFonts w:ascii="Times New Roman" w:hAnsi="Times New Roman" w:cs="Times New Roman"/>
          <w:sz w:val="24"/>
          <w:szCs w:val="24"/>
        </w:rPr>
        <w:t xml:space="preserve"> отбора ни один Участник закупки не признан соответствующим установленным единым требованиям и </w:t>
      </w:r>
      <w:r w:rsidRPr="002F5D6B">
        <w:rPr>
          <w:rFonts w:ascii="Times New Roman" w:hAnsi="Times New Roman" w:cs="Times New Roman"/>
          <w:sz w:val="24"/>
          <w:szCs w:val="24"/>
        </w:rPr>
        <w:lastRenderedPageBreak/>
        <w:t>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  <w:proofErr w:type="gramEnd"/>
    </w:p>
    <w:p w:rsidR="0059275C" w:rsidRDefault="0059275C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5D6B">
        <w:rPr>
          <w:rFonts w:ascii="Times New Roman" w:hAnsi="Times New Roman" w:cs="Times New Roman"/>
          <w:sz w:val="24"/>
          <w:szCs w:val="24"/>
        </w:rPr>
        <w:t xml:space="preserve">.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конкурсе, подлежащем размещению в ЕИС в течение десяти дней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2F5D6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отбора».</w:t>
      </w:r>
    </w:p>
    <w:p w:rsidR="00C44665" w:rsidRDefault="00C44665" w:rsidP="00592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665" w:rsidRDefault="00C44665" w:rsidP="005B1453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134" w:right="-1" w:hanging="708"/>
        <w:jc w:val="both"/>
        <w:rPr>
          <w:rFonts w:ascii="Times New Roman" w:hAnsi="Times New Roman" w:cs="Times New Roman"/>
          <w:sz w:val="24"/>
          <w:szCs w:val="24"/>
        </w:rPr>
      </w:pPr>
      <w:r w:rsidRPr="00C44665">
        <w:rPr>
          <w:rFonts w:ascii="Times New Roman" w:hAnsi="Times New Roman" w:cs="Times New Roman"/>
          <w:sz w:val="24"/>
          <w:szCs w:val="24"/>
        </w:rPr>
        <w:t xml:space="preserve">В пункте 5.6. </w:t>
      </w:r>
      <w:r w:rsidR="0007006A">
        <w:rPr>
          <w:rFonts w:ascii="Times New Roman" w:hAnsi="Times New Roman" w:cs="Times New Roman"/>
          <w:sz w:val="24"/>
          <w:szCs w:val="24"/>
        </w:rPr>
        <w:t>Запрос котировок</w:t>
      </w:r>
    </w:p>
    <w:p w:rsidR="00C44665" w:rsidRPr="00C44665" w:rsidRDefault="00C44665" w:rsidP="00C4466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65">
        <w:rPr>
          <w:rFonts w:ascii="Times New Roman" w:hAnsi="Times New Roman" w:cs="Times New Roman"/>
          <w:sz w:val="24"/>
          <w:szCs w:val="24"/>
        </w:rPr>
        <w:t>-подпункт 5.6.2. изложить в следующей редакции: «Процедура закупки может быть осуществлена путем проведения запроса котировок при условии, что начальная (</w:t>
      </w:r>
      <w:proofErr w:type="gramStart"/>
      <w:r w:rsidRPr="00C44665">
        <w:rPr>
          <w:rFonts w:ascii="Times New Roman" w:hAnsi="Times New Roman" w:cs="Times New Roman"/>
          <w:sz w:val="24"/>
          <w:szCs w:val="24"/>
        </w:rPr>
        <w:t xml:space="preserve">максимальная) </w:t>
      </w:r>
      <w:proofErr w:type="gramEnd"/>
      <w:r w:rsidRPr="00C44665">
        <w:rPr>
          <w:rFonts w:ascii="Times New Roman" w:hAnsi="Times New Roman" w:cs="Times New Roman"/>
          <w:sz w:val="24"/>
          <w:szCs w:val="24"/>
        </w:rPr>
        <w:t>цена контракта не превышает пятьсот тысяч рублей. При этом годовой объем закупок, осуществляемых путем проведения запроса котировок, не должен превышать десять процентов совокупного годового объема закупок заказчика и не должен составлять более чем сто миллионов рублей</w:t>
      </w:r>
      <w:r w:rsidR="00240D46">
        <w:rPr>
          <w:rFonts w:ascii="Times New Roman" w:hAnsi="Times New Roman" w:cs="Times New Roman"/>
          <w:sz w:val="24"/>
          <w:szCs w:val="24"/>
        </w:rPr>
        <w:t>»</w:t>
      </w:r>
      <w:r w:rsidR="005921A2">
        <w:rPr>
          <w:rFonts w:ascii="Times New Roman" w:hAnsi="Times New Roman" w:cs="Times New Roman"/>
          <w:sz w:val="24"/>
          <w:szCs w:val="24"/>
        </w:rPr>
        <w:t>;</w:t>
      </w:r>
    </w:p>
    <w:p w:rsidR="00C44665" w:rsidRPr="00C44665" w:rsidRDefault="00C44665" w:rsidP="00C4466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65">
        <w:rPr>
          <w:rFonts w:ascii="Times New Roman" w:hAnsi="Times New Roman" w:cs="Times New Roman"/>
          <w:sz w:val="24"/>
          <w:szCs w:val="24"/>
        </w:rPr>
        <w:t>-подпункт 5.6.9. изложить в следующей редакции: «Уполномоченным органом (контрактным управляющим Администрации) должны обеспечиваться сохранность конвертов с заявками, защищенность, неприкосновенность и конфиденциальность поданных в форме электронного документа заявок на участие в запросе котировок. Рассмотрение содержания заявок на участие в запросе котировок допускается только после вскрытия конвертов с такими заявками и (или) открытия доступа к поданным в форме электронных документов заявкам на участие в запросе котировок. Ответственные лица, осуществляющие хранение конвертов с такими заявками, не вправе допускать повреждение этих конвертов до момента их вскрытия и (или) допускать открытие доступа к поданным в форме электронных документов заявкам на участие в запросе котировок.</w:t>
      </w:r>
    </w:p>
    <w:p w:rsidR="00C44665" w:rsidRPr="00C44665" w:rsidRDefault="00C44665" w:rsidP="00C4466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65">
        <w:rPr>
          <w:rFonts w:ascii="Times New Roman" w:hAnsi="Times New Roman" w:cs="Times New Roman"/>
          <w:sz w:val="24"/>
          <w:szCs w:val="24"/>
        </w:rPr>
        <w:t xml:space="preserve">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</w:t>
      </w:r>
      <w:r w:rsidR="005921A2">
        <w:rPr>
          <w:rFonts w:ascii="Times New Roman" w:hAnsi="Times New Roman" w:cs="Times New Roman"/>
          <w:sz w:val="24"/>
          <w:szCs w:val="24"/>
        </w:rPr>
        <w:t>на участие в запросе котировок»;</w:t>
      </w:r>
    </w:p>
    <w:p w:rsidR="00C44665" w:rsidRPr="00C44665" w:rsidRDefault="00C44665" w:rsidP="00C4466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65">
        <w:rPr>
          <w:rFonts w:ascii="Times New Roman" w:hAnsi="Times New Roman" w:cs="Times New Roman"/>
          <w:sz w:val="24"/>
          <w:szCs w:val="24"/>
        </w:rPr>
        <w:tab/>
        <w:t xml:space="preserve">-подпункт 5.6.10. изложить в следующей редакции: «Котировочная комиссия вскрывает конверты с заявками на участие в запросе котировок и открывает доступ </w:t>
      </w:r>
      <w:proofErr w:type="gramStart"/>
      <w:r w:rsidRPr="00C44665">
        <w:rPr>
          <w:rFonts w:ascii="Times New Roman" w:hAnsi="Times New Roman" w:cs="Times New Roman"/>
          <w:sz w:val="24"/>
          <w:szCs w:val="24"/>
        </w:rPr>
        <w:t>к поданным в форме электронных документов заявкам на участие в запросе котировок во время</w:t>
      </w:r>
      <w:proofErr w:type="gramEnd"/>
      <w:r w:rsidRPr="00C44665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заявкам, а также рассмотрение и оценка таких заявок осуществляются в один день. Информация о месте, дате, времени вскрытия конвертов с такими заявками и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C44665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C44665">
        <w:rPr>
          <w:rFonts w:ascii="Times New Roman" w:hAnsi="Times New Roman" w:cs="Times New Roman"/>
          <w:sz w:val="24"/>
          <w:szCs w:val="24"/>
        </w:rPr>
        <w:t xml:space="preserve"> в запросе котировок которого вскрывается или доступ к поданной в форме электронного документа заявке на </w:t>
      </w:r>
      <w:proofErr w:type="gramStart"/>
      <w:r w:rsidRPr="00C44665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C44665">
        <w:rPr>
          <w:rFonts w:ascii="Times New Roman" w:hAnsi="Times New Roman" w:cs="Times New Roman"/>
          <w:sz w:val="24"/>
          <w:szCs w:val="24"/>
        </w:rPr>
        <w:t xml:space="preserve"> в запросе котировок которого открывается, предложения о цене контракта, указанные в таких заявках, объявляются при вскрытии конвертов с такими заявками и открытии доступа к поданным в форме электронных документов таким заявкам». </w:t>
      </w:r>
    </w:p>
    <w:p w:rsidR="00C44665" w:rsidRPr="00C44665" w:rsidRDefault="00C44665" w:rsidP="00C4466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80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4665" w:rsidRDefault="0007006A" w:rsidP="0007006A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5.7.  Запрос предложений</w:t>
      </w:r>
      <w:r w:rsidR="005921A2">
        <w:rPr>
          <w:rFonts w:ascii="Times New Roman" w:hAnsi="Times New Roman" w:cs="Times New Roman"/>
          <w:sz w:val="24"/>
          <w:szCs w:val="24"/>
        </w:rPr>
        <w:t>:</w:t>
      </w:r>
    </w:p>
    <w:p w:rsidR="0007006A" w:rsidRPr="0007006A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-подпункт 5.7.12. изложить в следующей редакции: «</w:t>
      </w:r>
      <w:r w:rsidRPr="0007006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700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006A">
        <w:rPr>
          <w:rFonts w:ascii="Times New Roman" w:hAnsi="Times New Roman" w:cs="Times New Roman"/>
          <w:sz w:val="24"/>
          <w:szCs w:val="24"/>
        </w:rPr>
        <w:t xml:space="preserve"> если запрос предложений признается не 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заявка, которая признана соответствующей требованиям </w:t>
      </w:r>
      <w:r w:rsidR="005921A2" w:rsidRPr="005921A2">
        <w:rPr>
          <w:rFonts w:ascii="Times New Roman" w:hAnsi="Times New Roman" w:cs="Times New Roman"/>
          <w:sz w:val="24"/>
          <w:szCs w:val="24"/>
        </w:rPr>
        <w:t xml:space="preserve">Закона о контрактной системе </w:t>
      </w:r>
      <w:r w:rsidRPr="0007006A">
        <w:rPr>
          <w:rFonts w:ascii="Times New Roman" w:hAnsi="Times New Roman" w:cs="Times New Roman"/>
          <w:sz w:val="24"/>
          <w:szCs w:val="24"/>
        </w:rPr>
        <w:t xml:space="preserve">и соответствует установленным заказчиком требованиям к товарам, работам, услугам в соответствии с извещением о проведении запроса предложений, заказчик </w:t>
      </w:r>
      <w:r w:rsidRPr="0007006A">
        <w:rPr>
          <w:rFonts w:ascii="Times New Roman" w:hAnsi="Times New Roman" w:cs="Times New Roman"/>
          <w:sz w:val="24"/>
          <w:szCs w:val="24"/>
        </w:rPr>
        <w:lastRenderedPageBreak/>
        <w:t xml:space="preserve">вправе осуществить закупку у единственного поставщика (подрядчика, исполнителя) в соответствии с пунктом 25 части 1 статьи 93 </w:t>
      </w:r>
      <w:r w:rsidR="005921A2" w:rsidRPr="005921A2">
        <w:rPr>
          <w:rFonts w:ascii="Times New Roman" w:hAnsi="Times New Roman" w:cs="Times New Roman"/>
          <w:sz w:val="24"/>
          <w:szCs w:val="24"/>
        </w:rPr>
        <w:t xml:space="preserve">Закона о контрактной системе </w:t>
      </w:r>
      <w:r w:rsidR="005921A2">
        <w:rPr>
          <w:rFonts w:ascii="Times New Roman" w:hAnsi="Times New Roman" w:cs="Times New Roman"/>
          <w:sz w:val="24"/>
          <w:szCs w:val="24"/>
        </w:rPr>
        <w:t>»;</w:t>
      </w:r>
    </w:p>
    <w:p w:rsidR="0007006A" w:rsidRPr="0007006A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06A">
        <w:rPr>
          <w:rFonts w:ascii="Times New Roman" w:hAnsi="Times New Roman" w:cs="Times New Roman"/>
          <w:sz w:val="24"/>
          <w:szCs w:val="24"/>
        </w:rPr>
        <w:t xml:space="preserve">-подпункт 5.7.13. изложить </w:t>
      </w:r>
      <w:r w:rsidR="005921A2">
        <w:rPr>
          <w:rFonts w:ascii="Times New Roman" w:hAnsi="Times New Roman" w:cs="Times New Roman"/>
          <w:sz w:val="24"/>
          <w:szCs w:val="24"/>
        </w:rPr>
        <w:t>в следующей редакции: «В случае</w:t>
      </w:r>
      <w:proofErr w:type="gramStart"/>
      <w:r w:rsidR="005921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006A">
        <w:rPr>
          <w:rFonts w:ascii="Times New Roman" w:hAnsi="Times New Roman" w:cs="Times New Roman"/>
          <w:sz w:val="24"/>
          <w:szCs w:val="24"/>
        </w:rPr>
        <w:t xml:space="preserve"> если запрос предложений признается не 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заявки, заказчик вносит изменения в план-график (при необходимости также в план закупок) и снова осуществляет закупку, за исключением случая, предусмотренного пунктом 34 части 1 статьи 93 </w:t>
      </w:r>
      <w:r w:rsidR="005921A2" w:rsidRPr="005921A2">
        <w:rPr>
          <w:rFonts w:ascii="Times New Roman" w:hAnsi="Times New Roman" w:cs="Times New Roman"/>
          <w:sz w:val="24"/>
          <w:szCs w:val="24"/>
        </w:rPr>
        <w:t xml:space="preserve">Закона о контрактной системе </w:t>
      </w:r>
      <w:r w:rsidR="005921A2">
        <w:rPr>
          <w:rFonts w:ascii="Times New Roman" w:hAnsi="Times New Roman" w:cs="Times New Roman"/>
          <w:sz w:val="24"/>
          <w:szCs w:val="24"/>
        </w:rPr>
        <w:t>»;</w:t>
      </w:r>
    </w:p>
    <w:p w:rsidR="0007006A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06A">
        <w:rPr>
          <w:rFonts w:ascii="Times New Roman" w:hAnsi="Times New Roman" w:cs="Times New Roman"/>
          <w:sz w:val="24"/>
          <w:szCs w:val="24"/>
        </w:rPr>
        <w:t>-подпункт 5.7.14. изложить в следующей редакции: «Уполномоченный орган (контрактный управляющий Администрации) обязан обеспечить осуществление аудиозаписи вскрытия конвертов с заявками на участие в запросе предложений, конвертов с окончательными предложениями и открытия доступа к поданным в форме электронных документов заявкам на участие в запросе предложений, окончательным предложениям. Любой участник запроса предложений, присутствующий при вскрытии конвертов с заявками на участие в запросе предложений, конвертов с окончательными предложениями и открытии доступа к поданным в форме электронных документов заявкам на участие в запросе предложений, окончательным предложениям, вправе осуществлять аудио- и видеозапись вскрытия этих конвертов и открытия указанного доступа».</w:t>
      </w:r>
    </w:p>
    <w:p w:rsidR="0007006A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06A" w:rsidRPr="0007006A" w:rsidRDefault="0007006A" w:rsidP="005921A2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006A">
        <w:rPr>
          <w:rFonts w:ascii="Times New Roman" w:hAnsi="Times New Roman" w:cs="Times New Roman"/>
          <w:sz w:val="24"/>
          <w:szCs w:val="24"/>
        </w:rPr>
        <w:t xml:space="preserve">Пункт 5.8. </w:t>
      </w:r>
      <w:r w:rsidR="005921A2" w:rsidRPr="005921A2">
        <w:rPr>
          <w:rFonts w:ascii="Times New Roman" w:hAnsi="Times New Roman" w:cs="Times New Roman"/>
          <w:sz w:val="24"/>
          <w:szCs w:val="24"/>
        </w:rPr>
        <w:t>«Закрытые способы определения поставщи</w:t>
      </w:r>
      <w:r w:rsidR="005921A2">
        <w:rPr>
          <w:rFonts w:ascii="Times New Roman" w:hAnsi="Times New Roman" w:cs="Times New Roman"/>
          <w:sz w:val="24"/>
          <w:szCs w:val="24"/>
        </w:rPr>
        <w:t xml:space="preserve">ков (подрядчиков, исполнителей)» </w:t>
      </w:r>
      <w:r w:rsidRPr="0007006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07006A" w:rsidRPr="002F5D6B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 xml:space="preserve">5.8.1. Под закрытыми способами определения поставщиков (подрядчиков, исполнителей) понимаются закрытый конкурс, закрытый конкурс с ограниченным участием, закрытый двухэтапный конкурс, закрытый аукцион, при которых в соответствии с положениями </w:t>
      </w:r>
      <w:hyperlink r:id="rId7" w:history="1">
        <w:r w:rsidRPr="002F5D6B">
          <w:rPr>
            <w:rFonts w:ascii="Times New Roman" w:hAnsi="Times New Roman" w:cs="Times New Roman"/>
            <w:sz w:val="24"/>
            <w:szCs w:val="24"/>
          </w:rPr>
          <w:t>статей 85</w:t>
        </w:r>
      </w:hyperlink>
      <w:r w:rsidRPr="002F5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F5D6B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Pr="002F5D6B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2F5D6B">
        <w:rPr>
          <w:rFonts w:ascii="Times New Roman" w:hAnsi="Times New Roman" w:cs="Times New Roman"/>
          <w:sz w:val="24"/>
          <w:szCs w:val="24"/>
        </w:rPr>
        <w:t xml:space="preserve"> о закупках сообщается Уполномоченным органом (контрактным управляющим Администрации) путем направления приглашений принять участие в закрытых способах определения поставщиков, подрядчиков, исполнителей, документации о закупках ограниченному кругу лиц, которые </w:t>
      </w:r>
      <w:proofErr w:type="gramStart"/>
      <w:r w:rsidRPr="002F5D6B">
        <w:rPr>
          <w:rFonts w:ascii="Times New Roman" w:hAnsi="Times New Roman" w:cs="Times New Roman"/>
          <w:sz w:val="24"/>
          <w:szCs w:val="24"/>
        </w:rPr>
        <w:t xml:space="preserve">соответствуют установленным </w:t>
      </w:r>
      <w:hyperlink r:id="rId9" w:history="1">
        <w:r w:rsidRPr="002F5D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5D6B">
        <w:rPr>
          <w:rFonts w:ascii="Times New Roman" w:hAnsi="Times New Roman" w:cs="Times New Roman"/>
          <w:sz w:val="24"/>
          <w:szCs w:val="24"/>
        </w:rPr>
        <w:t xml:space="preserve"> о контрактной системе требованиям и способны</w:t>
      </w:r>
      <w:proofErr w:type="gramEnd"/>
      <w:r w:rsidRPr="002F5D6B">
        <w:rPr>
          <w:rFonts w:ascii="Times New Roman" w:hAnsi="Times New Roman" w:cs="Times New Roman"/>
          <w:sz w:val="24"/>
          <w:szCs w:val="24"/>
        </w:rPr>
        <w:t xml:space="preserve"> осуществить поставки товаров, выполнение работ, оказание услуг, являющихся объектами закупок, в следующих случаях:</w:t>
      </w:r>
    </w:p>
    <w:p w:rsidR="0007006A" w:rsidRPr="002F5D6B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- закупок товаров, работ, услуг, если сведения о таких нуждах составляют государственную тайну;</w:t>
      </w:r>
    </w:p>
    <w:p w:rsidR="0007006A" w:rsidRPr="002F5D6B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-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07006A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5.8.2. Закрытые способы определения поставщиков (подрядчиков, исполнителей) применяются по согласованию с федеральным органом исполнительной власти, уполномоченным Правительством Российской Федерации на осуществление данных функций. Согласование применения закрытых способов определения поставщиков (подрядчиков, исполнителей) осуществляется в порядке, установленном федеральным органом исполнительной власти по регулированию контрактной системы в сфере закупок.</w:t>
      </w:r>
    </w:p>
    <w:p w:rsidR="0007006A" w:rsidRPr="0007006A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06A">
        <w:rPr>
          <w:rFonts w:ascii="Times New Roman" w:hAnsi="Times New Roman" w:cs="Times New Roman"/>
          <w:sz w:val="24"/>
          <w:szCs w:val="24"/>
        </w:rPr>
        <w:t xml:space="preserve">5.8.3.Срок действия решения федерального органа исполнительной власти, уполномоченного Правительством Российской Федерации на осуществление согласования закрытых способов определения поставщиков (подрядчиков, исполнителей), не должен превышать девяносто дней </w:t>
      </w:r>
      <w:proofErr w:type="gramStart"/>
      <w:r w:rsidRPr="0007006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7006A">
        <w:rPr>
          <w:rFonts w:ascii="Times New Roman" w:hAnsi="Times New Roman" w:cs="Times New Roman"/>
          <w:sz w:val="24"/>
          <w:szCs w:val="24"/>
        </w:rPr>
        <w:t xml:space="preserve"> его принятия до даты направления приглашений принять участие в закрытых способах определения поставщиков (подрядчиков, исполнителей).</w:t>
      </w:r>
    </w:p>
    <w:p w:rsidR="0007006A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06A">
        <w:rPr>
          <w:rFonts w:ascii="Times New Roman" w:hAnsi="Times New Roman" w:cs="Times New Roman"/>
          <w:sz w:val="24"/>
          <w:szCs w:val="24"/>
        </w:rPr>
        <w:t>5.8.4. Особенности отдельных закрытых процедур закупок предусмотрены Законом о</w:t>
      </w:r>
      <w:r w:rsidRPr="002F5D6B">
        <w:rPr>
          <w:rFonts w:ascii="Times New Roman" w:hAnsi="Times New Roman" w:cs="Times New Roman"/>
          <w:sz w:val="24"/>
          <w:szCs w:val="24"/>
        </w:rPr>
        <w:t xml:space="preserve"> контрактной системе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5D6B">
        <w:rPr>
          <w:rFonts w:ascii="Times New Roman" w:hAnsi="Times New Roman" w:cs="Times New Roman"/>
          <w:sz w:val="24"/>
          <w:szCs w:val="24"/>
        </w:rPr>
        <w:t>.</w:t>
      </w:r>
    </w:p>
    <w:p w:rsidR="0007006A" w:rsidRPr="002F5D6B" w:rsidRDefault="0007006A" w:rsidP="0007006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06A" w:rsidRDefault="001F1D40" w:rsidP="001F1D40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пункте </w:t>
      </w:r>
      <w:r w:rsidRPr="001F1D40">
        <w:rPr>
          <w:rFonts w:ascii="Times New Roman" w:hAnsi="Times New Roman" w:cs="Times New Roman"/>
          <w:sz w:val="24"/>
          <w:szCs w:val="24"/>
        </w:rPr>
        <w:t>5.9. Осуществление закупки у единственного поставщика (подрядчика, исполнителя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D40" w:rsidRPr="001F1D40" w:rsidRDefault="001F1D40" w:rsidP="001F1D40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-подпункт </w:t>
      </w:r>
      <w:r w:rsidRPr="001F1D40">
        <w:rPr>
          <w:rFonts w:ascii="Times New Roman" w:hAnsi="Times New Roman" w:cs="Times New Roman"/>
          <w:sz w:val="24"/>
          <w:szCs w:val="24"/>
        </w:rPr>
        <w:t xml:space="preserve">5.9.3.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Pr="001F1D40">
        <w:rPr>
          <w:rFonts w:ascii="Times New Roman" w:hAnsi="Times New Roman" w:cs="Times New Roman"/>
          <w:sz w:val="24"/>
          <w:szCs w:val="24"/>
        </w:rPr>
        <w:t>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настоящей части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 части 1 статьи 93 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1D40">
        <w:rPr>
          <w:rFonts w:ascii="Times New Roman" w:hAnsi="Times New Roman" w:cs="Times New Roman"/>
          <w:sz w:val="24"/>
          <w:szCs w:val="24"/>
        </w:rPr>
        <w:t>.</w:t>
      </w:r>
    </w:p>
    <w:p w:rsidR="001F1D40" w:rsidRDefault="001F1D40" w:rsidP="001F1D40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hAnsi="Times New Roman" w:cs="Times New Roman"/>
          <w:sz w:val="24"/>
          <w:szCs w:val="24"/>
        </w:rPr>
        <w:t>-подпункт 5.9.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1D40">
        <w:rPr>
          <w:rFonts w:ascii="Times New Roman" w:hAnsi="Times New Roman" w:cs="Times New Roman"/>
          <w:sz w:val="24"/>
          <w:szCs w:val="24"/>
        </w:rPr>
        <w:t xml:space="preserve">. изложить в следующей редакции: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1D40">
        <w:rPr>
          <w:rFonts w:ascii="Times New Roman" w:hAnsi="Times New Roman" w:cs="Times New Roman"/>
          <w:sz w:val="24"/>
          <w:szCs w:val="24"/>
        </w:rPr>
        <w:t xml:space="preserve">При осуществлении закупки у единственного поставщика (подрядчика, исполнителя) контракт должен содержать расчет и обоснование цены контракта, за исключением случаев осуществления закупки у единственного поставщика (подрядчика, исполнителя), </w:t>
      </w:r>
      <w:proofErr w:type="gramStart"/>
      <w:r w:rsidRPr="001F1D4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F1D40">
        <w:rPr>
          <w:rFonts w:ascii="Times New Roman" w:hAnsi="Times New Roman" w:cs="Times New Roman"/>
          <w:sz w:val="24"/>
          <w:szCs w:val="24"/>
        </w:rPr>
        <w:t xml:space="preserve"> которых документальное оформление отчета, предусмотренного частью 3 статьи 93 Закона о контрактной системе, не требуется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1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D40" w:rsidRDefault="001F1D40" w:rsidP="001F1D40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1D40" w:rsidRP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1.1.9.</w:t>
      </w:r>
      <w:r>
        <w:rPr>
          <w:rFonts w:ascii="Times New Roman" w:hAnsi="Times New Roman" w:cs="Times New Roman"/>
          <w:sz w:val="24"/>
          <w:szCs w:val="24"/>
        </w:rPr>
        <w:tab/>
        <w:t>Пункт 6.4. изложить в следующей редакции: «</w:t>
      </w:r>
      <w:r w:rsidRPr="001F1D40">
        <w:rPr>
          <w:rFonts w:ascii="Times New Roman" w:hAnsi="Times New Roman" w:cs="Times New Roman"/>
          <w:sz w:val="24"/>
          <w:szCs w:val="24"/>
        </w:rPr>
        <w:t>Заказчик обязан привлекать экспертов, экспертные организации к проведению экспертизы поставленного товара, выполненной работы или оказанной услуги, если закупка осуществляется у единственного поставщика (подрядчика, исполнителя), за исключением случаев:</w:t>
      </w:r>
    </w:p>
    <w:p w:rsidR="001F1D40" w:rsidRP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hAnsi="Times New Roman" w:cs="Times New Roman"/>
          <w:sz w:val="24"/>
          <w:szCs w:val="24"/>
        </w:rPr>
        <w:t>1) предусмотренных пунктами 1 - 9, 14, 15, 17 - 23, пунктом 24 (только при осуществлении закупок для обеспечения федеральных нужд), пунктами 25, 26, 28 - 30, 32, 33, 36 части 1 статьи 93 Закона о контрактной системе;</w:t>
      </w:r>
    </w:p>
    <w:p w:rsidR="001F1D40" w:rsidRP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hAnsi="Times New Roman" w:cs="Times New Roman"/>
          <w:sz w:val="24"/>
          <w:szCs w:val="24"/>
        </w:rPr>
        <w:t>2) осуществления закупок услуг экспертов, экспертных организаций;</w:t>
      </w:r>
    </w:p>
    <w:p w:rsidR="001F1D40" w:rsidRP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hAnsi="Times New Roman" w:cs="Times New Roman"/>
          <w:sz w:val="24"/>
          <w:szCs w:val="24"/>
        </w:rPr>
        <w:t>3) если результатом предусмотренной контрактом выполненной работы являются проектная документация объекта капитального строительства и (или) результаты инженерных изысканий, прошедшие государственную или негосударственную экспертизу, проведение которой обязательно в соответствии с положениями законодательства Российской Федерации.</w:t>
      </w:r>
    </w:p>
    <w:p w:rsid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hAnsi="Times New Roman" w:cs="Times New Roman"/>
          <w:sz w:val="24"/>
          <w:szCs w:val="24"/>
        </w:rPr>
        <w:t>6.4.1. Правительство Российской Федерации вправе определить иные случаи обязательного проведения экспертами, экспертными организациями экспертизы предусмотренных контрактом поставленных товаров, выполненных работ, оказанных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1D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1.1.10.</w:t>
      </w:r>
      <w:r>
        <w:rPr>
          <w:rFonts w:ascii="Times New Roman" w:hAnsi="Times New Roman" w:cs="Times New Roman"/>
          <w:sz w:val="24"/>
          <w:szCs w:val="24"/>
        </w:rPr>
        <w:tab/>
        <w:t xml:space="preserve">Пункт </w:t>
      </w:r>
      <w:r w:rsidRPr="001F1D40">
        <w:rPr>
          <w:rFonts w:ascii="Times New Roman" w:hAnsi="Times New Roman" w:cs="Times New Roman"/>
          <w:sz w:val="24"/>
          <w:szCs w:val="24"/>
        </w:rPr>
        <w:t xml:space="preserve">6.9.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Pr="001F1D40">
        <w:rPr>
          <w:rFonts w:ascii="Times New Roman" w:hAnsi="Times New Roman" w:cs="Times New Roman"/>
          <w:sz w:val="24"/>
          <w:szCs w:val="24"/>
        </w:rPr>
        <w:t>Результаты отдельного этапа исполнения контракта (за исключением контракта, заключенного в соответствии с пунктом 4 или 5 части 1 статьи 93 Закона о контрактной системе),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1D40">
        <w:rPr>
          <w:rFonts w:ascii="Times New Roman" w:hAnsi="Times New Roman" w:cs="Times New Roman"/>
          <w:sz w:val="24"/>
          <w:szCs w:val="24"/>
        </w:rPr>
        <w:t>.</w:t>
      </w:r>
    </w:p>
    <w:p w:rsid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1F1D40">
        <w:rPr>
          <w:rFonts w:ascii="Times New Roman" w:hAnsi="Times New Roman" w:cs="Times New Roman"/>
          <w:sz w:val="24"/>
          <w:szCs w:val="24"/>
        </w:rPr>
        <w:t>Пункт 6.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F1D40">
        <w:rPr>
          <w:rFonts w:ascii="Times New Roman" w:hAnsi="Times New Roman" w:cs="Times New Roman"/>
          <w:sz w:val="24"/>
          <w:szCs w:val="24"/>
        </w:rPr>
        <w:t>.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F1D40">
        <w:rPr>
          <w:rFonts w:ascii="Times New Roman" w:hAnsi="Times New Roman" w:cs="Times New Roman"/>
          <w:sz w:val="24"/>
          <w:szCs w:val="24"/>
        </w:rPr>
        <w:t>Решение заказчика 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и направляется поставщику (подрядчику, исполнителю) по почте заказным письмом с уведомлением о вручении по адресу поставщика (подрядчика, исполнителя), указанному в контракте, а также телеграммой, либо посредством факсимильной связи, либо по адресу электронной почты, либо</w:t>
      </w:r>
      <w:proofErr w:type="gramEnd"/>
      <w:r w:rsidRPr="001F1D40">
        <w:rPr>
          <w:rFonts w:ascii="Times New Roman" w:hAnsi="Times New Roman" w:cs="Times New Roman"/>
          <w:sz w:val="24"/>
          <w:szCs w:val="24"/>
        </w:rPr>
        <w:t xml:space="preserve">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 (подрядчику, исполнителю). Выполнение заказчиком требований настоящ</w:t>
      </w:r>
      <w:r w:rsidR="00424121">
        <w:rPr>
          <w:rFonts w:ascii="Times New Roman" w:hAnsi="Times New Roman" w:cs="Times New Roman"/>
          <w:sz w:val="24"/>
          <w:szCs w:val="24"/>
        </w:rPr>
        <w:t>его пункта</w:t>
      </w:r>
      <w:bookmarkStart w:id="0" w:name="_GoBack"/>
      <w:bookmarkEnd w:id="0"/>
      <w:r w:rsidRPr="001F1D40">
        <w:rPr>
          <w:rFonts w:ascii="Times New Roman" w:hAnsi="Times New Roman" w:cs="Times New Roman"/>
          <w:sz w:val="24"/>
          <w:szCs w:val="24"/>
        </w:rPr>
        <w:t xml:space="preserve"> считается надлежащим уведомлением поставщика (подрядчика, исполнителя) об одностороннем </w:t>
      </w:r>
      <w:r w:rsidRPr="001F1D40">
        <w:rPr>
          <w:rFonts w:ascii="Times New Roman" w:hAnsi="Times New Roman" w:cs="Times New Roman"/>
          <w:sz w:val="24"/>
          <w:szCs w:val="24"/>
        </w:rPr>
        <w:lastRenderedPageBreak/>
        <w:t xml:space="preserve">отказе от исполнения контракта. Датой такого надлежащего уведомления признается дата получения заказчиком подтверждения о вручении поставщику (подрядчику, исполнителю) указанного уведомления либо дата получения заказчиком информации об отсутствии поставщика (подрядчика, исполнителя)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F1D40">
        <w:rPr>
          <w:rFonts w:ascii="Times New Roman" w:hAnsi="Times New Roman" w:cs="Times New Roman"/>
          <w:sz w:val="24"/>
          <w:szCs w:val="24"/>
        </w:rPr>
        <w:t>по истечении тридцати дней с даты размещения решения заказчика об одностороннем отказе от исполнения контракта в единой информационной системе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1F1D40">
        <w:rPr>
          <w:rFonts w:ascii="Times New Roman" w:hAnsi="Times New Roman" w:cs="Times New Roman"/>
          <w:sz w:val="24"/>
          <w:szCs w:val="24"/>
        </w:rPr>
        <w:t>.</w:t>
      </w:r>
    </w:p>
    <w:p w:rsidR="001F1D40" w:rsidRPr="001F1D40" w:rsidRDefault="001F1D40" w:rsidP="001F1D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1F1D40">
        <w:rPr>
          <w:rFonts w:ascii="Times New Roman" w:hAnsi="Times New Roman" w:cs="Times New Roman"/>
          <w:sz w:val="24"/>
          <w:szCs w:val="24"/>
        </w:rPr>
        <w:t>Пункт 6.2</w:t>
      </w:r>
      <w:r w:rsidR="00214F11">
        <w:rPr>
          <w:rFonts w:ascii="Times New Roman" w:hAnsi="Times New Roman" w:cs="Times New Roman"/>
          <w:sz w:val="24"/>
          <w:szCs w:val="24"/>
        </w:rPr>
        <w:t>4</w:t>
      </w:r>
      <w:r w:rsidRPr="001F1D40">
        <w:rPr>
          <w:rFonts w:ascii="Times New Roman" w:hAnsi="Times New Roman" w:cs="Times New Roman"/>
          <w:sz w:val="24"/>
          <w:szCs w:val="24"/>
        </w:rPr>
        <w:t>. изложить в следующей редакции:</w:t>
      </w:r>
      <w:r w:rsidR="00214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F11">
        <w:rPr>
          <w:rFonts w:ascii="Times New Roman" w:hAnsi="Times New Roman" w:cs="Times New Roman"/>
          <w:sz w:val="24"/>
          <w:szCs w:val="24"/>
        </w:rPr>
        <w:t>«</w:t>
      </w:r>
      <w:r w:rsidR="00214F11" w:rsidRPr="00214F11">
        <w:rPr>
          <w:rFonts w:ascii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 поставщик (подрядчик, исполнитель) не соответствует установленным извещением о проведении запроса котировок,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исполнителя)</w:t>
      </w:r>
      <w:r w:rsidR="00214F11">
        <w:rPr>
          <w:rFonts w:ascii="Times New Roman" w:hAnsi="Times New Roman" w:cs="Times New Roman"/>
          <w:sz w:val="24"/>
          <w:szCs w:val="24"/>
        </w:rPr>
        <w:t>»</w:t>
      </w:r>
      <w:r w:rsidR="00214F11" w:rsidRPr="00214F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1D40" w:rsidRPr="001F1D40" w:rsidRDefault="001F1D40" w:rsidP="001F1D40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205E" w:rsidRPr="009A5F00" w:rsidRDefault="000900DB" w:rsidP="009A5F0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E63B49" w:rsidRPr="009A5F00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</w:t>
      </w:r>
      <w:r>
        <w:rPr>
          <w:rFonts w:ascii="Times New Roman" w:hAnsi="Times New Roman" w:cs="Times New Roman"/>
          <w:sz w:val="24"/>
          <w:szCs w:val="24"/>
        </w:rPr>
        <w:t>ия и подлежит размещению на официальном сайте органов местного самоуправления сельского поселения Хатанга</w:t>
      </w:r>
      <w:r w:rsidR="0009205E" w:rsidRPr="009A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5F00" w:rsidRDefault="009A5F00" w:rsidP="009A5F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E" w:rsidRPr="009A5F00" w:rsidRDefault="0009205E" w:rsidP="009A5F00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06153A" w:rsidRPr="009A5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A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09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</w:t>
      </w:r>
      <w:r w:rsidR="00A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возлагаю на </w:t>
      </w:r>
      <w:r w:rsidR="00AE49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</w:t>
      </w:r>
      <w:r w:rsidR="00AE4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Руководителя администрации сельского поселения</w:t>
      </w:r>
      <w:r w:rsidR="00A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Хатанга </w:t>
      </w:r>
      <w:r w:rsidR="002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r w:rsidR="00A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</w:t>
      </w:r>
      <w:r w:rsidR="002F6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05E" w:rsidRPr="002F5D6B" w:rsidRDefault="0009205E" w:rsidP="002F5D6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E" w:rsidRPr="002F5D6B" w:rsidRDefault="0009205E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9B0" w:rsidRDefault="005409B0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EB" w:rsidRPr="002F5D6B" w:rsidRDefault="00732CEB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4D5" w:rsidRDefault="00B604D5" w:rsidP="002F5D6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E" w:rsidRPr="002F5D6B" w:rsidRDefault="0009205E" w:rsidP="002F5D6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5B145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9205E" w:rsidRPr="002F5D6B" w:rsidRDefault="0009205E" w:rsidP="002F5D6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Хатанга                                                                               </w:t>
      </w:r>
      <w:r w:rsidR="00B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5B1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Клыгина</w:t>
      </w:r>
      <w:proofErr w:type="spellEnd"/>
    </w:p>
    <w:p w:rsidR="0009205E" w:rsidRPr="002F5D6B" w:rsidRDefault="0009205E" w:rsidP="002F5D6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11" w:rsidRPr="00AD5142" w:rsidRDefault="000F4711" w:rsidP="009F3E53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sz w:val="24"/>
          <w:szCs w:val="24"/>
        </w:rPr>
      </w:pPr>
    </w:p>
    <w:sectPr w:rsidR="000F4711" w:rsidRPr="00AD5142" w:rsidSect="0016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02B"/>
    <w:multiLevelType w:val="multilevel"/>
    <w:tmpl w:val="06C63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0394469"/>
    <w:multiLevelType w:val="hybridMultilevel"/>
    <w:tmpl w:val="E96C9AE2"/>
    <w:lvl w:ilvl="0" w:tplc="6660D696">
      <w:start w:val="1"/>
      <w:numFmt w:val="decimal"/>
      <w:lvlText w:val="%1."/>
      <w:lvlJc w:val="left"/>
      <w:pPr>
        <w:tabs>
          <w:tab w:val="num" w:pos="1417"/>
        </w:tabs>
        <w:ind w:left="141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F0"/>
    <w:rsid w:val="00030FB8"/>
    <w:rsid w:val="00035E45"/>
    <w:rsid w:val="00042A15"/>
    <w:rsid w:val="0006153A"/>
    <w:rsid w:val="0007006A"/>
    <w:rsid w:val="000900DB"/>
    <w:rsid w:val="0009205E"/>
    <w:rsid w:val="000B3EA6"/>
    <w:rsid w:val="000D283A"/>
    <w:rsid w:val="000F4711"/>
    <w:rsid w:val="000F5F16"/>
    <w:rsid w:val="001007B7"/>
    <w:rsid w:val="00107F20"/>
    <w:rsid w:val="00114F59"/>
    <w:rsid w:val="001444FF"/>
    <w:rsid w:val="00161361"/>
    <w:rsid w:val="00170530"/>
    <w:rsid w:val="001931F0"/>
    <w:rsid w:val="001A2FBD"/>
    <w:rsid w:val="001B3A2E"/>
    <w:rsid w:val="001C6968"/>
    <w:rsid w:val="001D2856"/>
    <w:rsid w:val="001D43D1"/>
    <w:rsid w:val="001E0A13"/>
    <w:rsid w:val="001F1B31"/>
    <w:rsid w:val="001F1D40"/>
    <w:rsid w:val="001F366E"/>
    <w:rsid w:val="00214F11"/>
    <w:rsid w:val="002157DD"/>
    <w:rsid w:val="00216277"/>
    <w:rsid w:val="0023315A"/>
    <w:rsid w:val="0023657D"/>
    <w:rsid w:val="00240D46"/>
    <w:rsid w:val="00250C3E"/>
    <w:rsid w:val="00270B22"/>
    <w:rsid w:val="002921C4"/>
    <w:rsid w:val="002A0F61"/>
    <w:rsid w:val="002A7774"/>
    <w:rsid w:val="002E2754"/>
    <w:rsid w:val="002F5D6B"/>
    <w:rsid w:val="002F69BC"/>
    <w:rsid w:val="003230F9"/>
    <w:rsid w:val="00323D70"/>
    <w:rsid w:val="00333EFA"/>
    <w:rsid w:val="003364F6"/>
    <w:rsid w:val="0034273C"/>
    <w:rsid w:val="003507B6"/>
    <w:rsid w:val="0035193F"/>
    <w:rsid w:val="00352B80"/>
    <w:rsid w:val="00376A42"/>
    <w:rsid w:val="003A3ED5"/>
    <w:rsid w:val="003B42C2"/>
    <w:rsid w:val="003C533E"/>
    <w:rsid w:val="003D036F"/>
    <w:rsid w:val="003D4B6D"/>
    <w:rsid w:val="003D4FC1"/>
    <w:rsid w:val="003E02D3"/>
    <w:rsid w:val="003E49D3"/>
    <w:rsid w:val="003E6891"/>
    <w:rsid w:val="004025B4"/>
    <w:rsid w:val="004041D7"/>
    <w:rsid w:val="004065C4"/>
    <w:rsid w:val="00422803"/>
    <w:rsid w:val="0042373A"/>
    <w:rsid w:val="00424121"/>
    <w:rsid w:val="00453803"/>
    <w:rsid w:val="00454959"/>
    <w:rsid w:val="00466E6A"/>
    <w:rsid w:val="00470F49"/>
    <w:rsid w:val="0047604C"/>
    <w:rsid w:val="004A1C4E"/>
    <w:rsid w:val="004B53D8"/>
    <w:rsid w:val="00503756"/>
    <w:rsid w:val="005409B0"/>
    <w:rsid w:val="00544C2B"/>
    <w:rsid w:val="005461C3"/>
    <w:rsid w:val="0055600A"/>
    <w:rsid w:val="00570ABD"/>
    <w:rsid w:val="005729A0"/>
    <w:rsid w:val="00576296"/>
    <w:rsid w:val="00576A2B"/>
    <w:rsid w:val="00590766"/>
    <w:rsid w:val="005921A2"/>
    <w:rsid w:val="0059275C"/>
    <w:rsid w:val="00593DDD"/>
    <w:rsid w:val="005B1453"/>
    <w:rsid w:val="005C7E68"/>
    <w:rsid w:val="005E690F"/>
    <w:rsid w:val="005E7235"/>
    <w:rsid w:val="005F5299"/>
    <w:rsid w:val="005F6B07"/>
    <w:rsid w:val="00600753"/>
    <w:rsid w:val="006009B6"/>
    <w:rsid w:val="006234FC"/>
    <w:rsid w:val="0062611C"/>
    <w:rsid w:val="00641990"/>
    <w:rsid w:val="00672A3F"/>
    <w:rsid w:val="00673A26"/>
    <w:rsid w:val="00686F75"/>
    <w:rsid w:val="006A1188"/>
    <w:rsid w:val="006B2A5C"/>
    <w:rsid w:val="006B483F"/>
    <w:rsid w:val="006C2A5E"/>
    <w:rsid w:val="006C5943"/>
    <w:rsid w:val="006C6DA1"/>
    <w:rsid w:val="006E0BB9"/>
    <w:rsid w:val="006E1DBF"/>
    <w:rsid w:val="006F0845"/>
    <w:rsid w:val="006F6DFF"/>
    <w:rsid w:val="00700E49"/>
    <w:rsid w:val="00727574"/>
    <w:rsid w:val="00732CEB"/>
    <w:rsid w:val="00751619"/>
    <w:rsid w:val="00751E44"/>
    <w:rsid w:val="007623E3"/>
    <w:rsid w:val="00780AB6"/>
    <w:rsid w:val="00792021"/>
    <w:rsid w:val="007A6B87"/>
    <w:rsid w:val="007B2A4F"/>
    <w:rsid w:val="007D20E1"/>
    <w:rsid w:val="007E3567"/>
    <w:rsid w:val="00816F45"/>
    <w:rsid w:val="00861C12"/>
    <w:rsid w:val="0087431B"/>
    <w:rsid w:val="00876467"/>
    <w:rsid w:val="00876C87"/>
    <w:rsid w:val="00880DA9"/>
    <w:rsid w:val="00882CC1"/>
    <w:rsid w:val="008944B2"/>
    <w:rsid w:val="008A0EE9"/>
    <w:rsid w:val="008B0B33"/>
    <w:rsid w:val="008B39DB"/>
    <w:rsid w:val="008D2F13"/>
    <w:rsid w:val="008D3BED"/>
    <w:rsid w:val="008E7A5E"/>
    <w:rsid w:val="008F0F42"/>
    <w:rsid w:val="008F2DCC"/>
    <w:rsid w:val="009105E8"/>
    <w:rsid w:val="00912FD6"/>
    <w:rsid w:val="00931DA6"/>
    <w:rsid w:val="00932D02"/>
    <w:rsid w:val="009429B0"/>
    <w:rsid w:val="00962E68"/>
    <w:rsid w:val="00967749"/>
    <w:rsid w:val="0097626A"/>
    <w:rsid w:val="009827E3"/>
    <w:rsid w:val="00985386"/>
    <w:rsid w:val="00992032"/>
    <w:rsid w:val="00992A22"/>
    <w:rsid w:val="00992E1C"/>
    <w:rsid w:val="00993DB1"/>
    <w:rsid w:val="009A0B23"/>
    <w:rsid w:val="009A5F00"/>
    <w:rsid w:val="009C15EF"/>
    <w:rsid w:val="009C3385"/>
    <w:rsid w:val="009C6D59"/>
    <w:rsid w:val="009C78F1"/>
    <w:rsid w:val="009D5EA8"/>
    <w:rsid w:val="009E4AB8"/>
    <w:rsid w:val="009F3E53"/>
    <w:rsid w:val="009F4A60"/>
    <w:rsid w:val="009F57E9"/>
    <w:rsid w:val="00A11CC5"/>
    <w:rsid w:val="00A20BB1"/>
    <w:rsid w:val="00A63C9F"/>
    <w:rsid w:val="00A70757"/>
    <w:rsid w:val="00AB0BCF"/>
    <w:rsid w:val="00AD48C7"/>
    <w:rsid w:val="00AD5142"/>
    <w:rsid w:val="00AE35FB"/>
    <w:rsid w:val="00AE49DA"/>
    <w:rsid w:val="00AF24AD"/>
    <w:rsid w:val="00B0534A"/>
    <w:rsid w:val="00B21330"/>
    <w:rsid w:val="00B43B81"/>
    <w:rsid w:val="00B53260"/>
    <w:rsid w:val="00B55AB0"/>
    <w:rsid w:val="00B604D5"/>
    <w:rsid w:val="00B6102F"/>
    <w:rsid w:val="00B66E36"/>
    <w:rsid w:val="00B80BC3"/>
    <w:rsid w:val="00B817A8"/>
    <w:rsid w:val="00B879B9"/>
    <w:rsid w:val="00BB7361"/>
    <w:rsid w:val="00BB7C64"/>
    <w:rsid w:val="00BC4CA9"/>
    <w:rsid w:val="00BE1050"/>
    <w:rsid w:val="00BE39AD"/>
    <w:rsid w:val="00C223F3"/>
    <w:rsid w:val="00C35BDC"/>
    <w:rsid w:val="00C44665"/>
    <w:rsid w:val="00C57219"/>
    <w:rsid w:val="00C71FD4"/>
    <w:rsid w:val="00CA58C4"/>
    <w:rsid w:val="00CC3E35"/>
    <w:rsid w:val="00CD0C4A"/>
    <w:rsid w:val="00CD225F"/>
    <w:rsid w:val="00CD6763"/>
    <w:rsid w:val="00CF006C"/>
    <w:rsid w:val="00D0669A"/>
    <w:rsid w:val="00D07827"/>
    <w:rsid w:val="00D20726"/>
    <w:rsid w:val="00D64E4E"/>
    <w:rsid w:val="00D71C8F"/>
    <w:rsid w:val="00D767E6"/>
    <w:rsid w:val="00D80FC5"/>
    <w:rsid w:val="00D84F7F"/>
    <w:rsid w:val="00D86723"/>
    <w:rsid w:val="00D911FC"/>
    <w:rsid w:val="00DB2BC0"/>
    <w:rsid w:val="00DB3CBF"/>
    <w:rsid w:val="00DC13FA"/>
    <w:rsid w:val="00DD1D73"/>
    <w:rsid w:val="00E05C57"/>
    <w:rsid w:val="00E11699"/>
    <w:rsid w:val="00E17ECD"/>
    <w:rsid w:val="00E24588"/>
    <w:rsid w:val="00E25B3E"/>
    <w:rsid w:val="00E27C5A"/>
    <w:rsid w:val="00E565DE"/>
    <w:rsid w:val="00E63B49"/>
    <w:rsid w:val="00E6445D"/>
    <w:rsid w:val="00E67544"/>
    <w:rsid w:val="00E80897"/>
    <w:rsid w:val="00E976B8"/>
    <w:rsid w:val="00EA5710"/>
    <w:rsid w:val="00EA7A0F"/>
    <w:rsid w:val="00EB320E"/>
    <w:rsid w:val="00EC1AC4"/>
    <w:rsid w:val="00EC36F6"/>
    <w:rsid w:val="00F24F53"/>
    <w:rsid w:val="00F34F1A"/>
    <w:rsid w:val="00F40730"/>
    <w:rsid w:val="00F72D4D"/>
    <w:rsid w:val="00F81FA0"/>
    <w:rsid w:val="00F8409A"/>
    <w:rsid w:val="00F959E9"/>
    <w:rsid w:val="00FA5F9F"/>
    <w:rsid w:val="00FB1538"/>
    <w:rsid w:val="00FB404E"/>
    <w:rsid w:val="00FD00CF"/>
    <w:rsid w:val="00FE12E3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361"/>
    <w:pPr>
      <w:ind w:left="720"/>
      <w:contextualSpacing/>
    </w:pPr>
  </w:style>
  <w:style w:type="paragraph" w:customStyle="1" w:styleId="2">
    <w:name w:val="Знак Знак Знак2 Знак"/>
    <w:basedOn w:val="a"/>
    <w:rsid w:val="00962E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rsid w:val="001007B7"/>
    <w:rPr>
      <w:color w:val="0000FF"/>
      <w:u w:val="single"/>
    </w:rPr>
  </w:style>
  <w:style w:type="paragraph" w:styleId="a7">
    <w:name w:val="No Spacing"/>
    <w:uiPriority w:val="1"/>
    <w:qFormat/>
    <w:rsid w:val="009A5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361"/>
    <w:pPr>
      <w:ind w:left="720"/>
      <w:contextualSpacing/>
    </w:pPr>
  </w:style>
  <w:style w:type="paragraph" w:customStyle="1" w:styleId="2">
    <w:name w:val="Знак Знак Знак2 Знак"/>
    <w:basedOn w:val="a"/>
    <w:rsid w:val="00962E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rsid w:val="001007B7"/>
    <w:rPr>
      <w:color w:val="0000FF"/>
      <w:u w:val="single"/>
    </w:rPr>
  </w:style>
  <w:style w:type="paragraph" w:styleId="a7">
    <w:name w:val="No Spacing"/>
    <w:uiPriority w:val="1"/>
    <w:qFormat/>
    <w:rsid w:val="009A5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21C3091959902114A65A4AED2E860BE23B35B8A7E99766BEC852140223B43C75F8C1196940450BDs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121C3091959902114A65A4AED2E860BE23B35B8A7E99766BEC852140223B43C75F8C1196940452BDsC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121C3091959902114A65A4AED2E860BE23B35B8A7E99766BEC852140223B43C75F8C1196950257BDsA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21C3091959902114A65A4AED2E860BE23B35B8A7E99766BEC852140B2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Dudenko</cp:lastModifiedBy>
  <cp:revision>17</cp:revision>
  <cp:lastPrinted>2015-02-24T01:09:00Z</cp:lastPrinted>
  <dcterms:created xsi:type="dcterms:W3CDTF">2015-02-11T07:53:00Z</dcterms:created>
  <dcterms:modified xsi:type="dcterms:W3CDTF">2015-02-24T01:09:00Z</dcterms:modified>
</cp:coreProperties>
</file>