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2A2" w:rsidRDefault="004342A2" w:rsidP="004342A2">
      <w:pPr>
        <w:rPr>
          <w:b/>
          <w:noProof/>
          <w:sz w:val="32"/>
        </w:rPr>
      </w:pPr>
      <w:r>
        <w:rPr>
          <w:b/>
          <w:noProof/>
          <w:sz w:val="32"/>
        </w:rPr>
        <w:t xml:space="preserve">                                                     </w:t>
      </w:r>
      <w:r>
        <w:rPr>
          <w:b/>
          <w:noProof/>
          <w:sz w:val="32"/>
        </w:rPr>
        <w:drawing>
          <wp:inline distT="0" distB="0" distL="0" distR="0">
            <wp:extent cx="461010" cy="5727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42A2" w:rsidRPr="00EE425F" w:rsidRDefault="004342A2" w:rsidP="004342A2">
      <w:pPr>
        <w:rPr>
          <w:b/>
          <w:i/>
          <w:noProof/>
        </w:rPr>
      </w:pPr>
      <w:r>
        <w:rPr>
          <w:b/>
          <w:noProof/>
          <w:sz w:val="32"/>
        </w:rPr>
        <w:t xml:space="preserve">                               </w:t>
      </w:r>
    </w:p>
    <w:p w:rsidR="004342A2" w:rsidRPr="000540CD" w:rsidRDefault="004342A2" w:rsidP="004342A2">
      <w:pPr>
        <w:rPr>
          <w:b/>
          <w:color w:val="17365D" w:themeColor="text2" w:themeShade="BF"/>
          <w:szCs w:val="32"/>
        </w:rPr>
      </w:pPr>
      <w:r w:rsidRPr="000540CD">
        <w:rPr>
          <w:b/>
          <w:bCs/>
          <w:color w:val="17365D" w:themeColor="text2" w:themeShade="BF"/>
        </w:rPr>
        <w:t xml:space="preserve">                                               </w:t>
      </w:r>
      <w:r w:rsidRPr="000540CD">
        <w:rPr>
          <w:b/>
          <w:color w:val="17365D" w:themeColor="text2" w:themeShade="BF"/>
          <w:szCs w:val="32"/>
        </w:rPr>
        <w:t>РОССИЙСКАЯ ФЕДЕРАЦИЯ</w:t>
      </w:r>
    </w:p>
    <w:p w:rsidR="004342A2" w:rsidRPr="000540CD" w:rsidRDefault="004342A2" w:rsidP="004342A2">
      <w:pPr>
        <w:jc w:val="center"/>
        <w:rPr>
          <w:color w:val="17365D" w:themeColor="text2" w:themeShade="BF"/>
          <w:szCs w:val="32"/>
        </w:rPr>
      </w:pPr>
      <w:r w:rsidRPr="000540CD">
        <w:rPr>
          <w:color w:val="17365D" w:themeColor="text2" w:themeShade="BF"/>
          <w:szCs w:val="32"/>
        </w:rPr>
        <w:t>КРАСНОЯРСКИЙ КРАЙ</w:t>
      </w:r>
    </w:p>
    <w:p w:rsidR="004342A2" w:rsidRPr="000540CD" w:rsidRDefault="004342A2" w:rsidP="004342A2">
      <w:pPr>
        <w:jc w:val="center"/>
        <w:rPr>
          <w:color w:val="17365D" w:themeColor="text2" w:themeShade="BF"/>
          <w:szCs w:val="32"/>
        </w:rPr>
      </w:pPr>
      <w:r w:rsidRPr="000540CD">
        <w:rPr>
          <w:color w:val="17365D" w:themeColor="text2" w:themeShade="BF"/>
          <w:szCs w:val="32"/>
        </w:rPr>
        <w:t>ТАЙМЫРСКИЙ ДОЛГАНО-НЕНЕЦКИЙ МУНИЦИПАЛЬНЫЙ РАЙОН</w:t>
      </w:r>
    </w:p>
    <w:p w:rsidR="004342A2" w:rsidRPr="000540CD" w:rsidRDefault="004342A2" w:rsidP="004342A2">
      <w:pPr>
        <w:jc w:val="center"/>
        <w:rPr>
          <w:b/>
          <w:color w:val="17365D" w:themeColor="text2" w:themeShade="BF"/>
          <w:szCs w:val="32"/>
        </w:rPr>
      </w:pPr>
      <w:r w:rsidRPr="000540CD">
        <w:rPr>
          <w:b/>
          <w:color w:val="17365D" w:themeColor="text2" w:themeShade="BF"/>
          <w:szCs w:val="32"/>
        </w:rPr>
        <w:t>АДМИНИСТРАЦИЯ СЕЛЬСКОГО ПОСЕЛЕНИЯ ХАТАНГА</w:t>
      </w:r>
    </w:p>
    <w:p w:rsidR="004342A2" w:rsidRPr="000540CD" w:rsidRDefault="004342A2" w:rsidP="004342A2">
      <w:pPr>
        <w:jc w:val="center"/>
        <w:rPr>
          <w:b/>
          <w:color w:val="17365D" w:themeColor="text2" w:themeShade="BF"/>
          <w:szCs w:val="32"/>
        </w:rPr>
      </w:pPr>
      <w:r w:rsidRPr="000540CD">
        <w:rPr>
          <w:b/>
          <w:color w:val="17365D" w:themeColor="text2" w:themeShade="BF"/>
          <w:szCs w:val="32"/>
        </w:rPr>
        <w:t xml:space="preserve">  </w:t>
      </w:r>
    </w:p>
    <w:p w:rsidR="004342A2" w:rsidRPr="000540CD" w:rsidRDefault="004342A2" w:rsidP="004342A2">
      <w:pPr>
        <w:jc w:val="center"/>
        <w:rPr>
          <w:b/>
          <w:color w:val="17365D" w:themeColor="text2" w:themeShade="BF"/>
          <w:szCs w:val="32"/>
        </w:rPr>
      </w:pPr>
    </w:p>
    <w:p w:rsidR="004342A2" w:rsidRPr="000540CD" w:rsidRDefault="004342A2" w:rsidP="004342A2">
      <w:pPr>
        <w:jc w:val="center"/>
        <w:rPr>
          <w:b/>
          <w:color w:val="17365D" w:themeColor="text2" w:themeShade="BF"/>
          <w:szCs w:val="32"/>
        </w:rPr>
      </w:pPr>
      <w:r w:rsidRPr="000540CD">
        <w:rPr>
          <w:b/>
          <w:color w:val="17365D" w:themeColor="text2" w:themeShade="BF"/>
          <w:szCs w:val="32"/>
        </w:rPr>
        <w:t xml:space="preserve">ПОСТАНОВЛЕНИЕ </w:t>
      </w:r>
    </w:p>
    <w:p w:rsidR="004342A2" w:rsidRPr="000540CD" w:rsidRDefault="004342A2" w:rsidP="004342A2">
      <w:pPr>
        <w:rPr>
          <w:b/>
          <w:color w:val="17365D" w:themeColor="text2" w:themeShade="BF"/>
          <w:szCs w:val="32"/>
        </w:rPr>
      </w:pPr>
    </w:p>
    <w:p w:rsidR="004342A2" w:rsidRPr="000540CD" w:rsidRDefault="00014040" w:rsidP="004342A2">
      <w:pPr>
        <w:rPr>
          <w:color w:val="17365D" w:themeColor="text2" w:themeShade="BF"/>
        </w:rPr>
      </w:pPr>
      <w:r>
        <w:rPr>
          <w:color w:val="17365D" w:themeColor="text2" w:themeShade="BF"/>
          <w:szCs w:val="32"/>
        </w:rPr>
        <w:t>22</w:t>
      </w:r>
      <w:r w:rsidR="004342A2" w:rsidRPr="000540CD">
        <w:rPr>
          <w:color w:val="17365D" w:themeColor="text2" w:themeShade="BF"/>
          <w:szCs w:val="32"/>
        </w:rPr>
        <w:t>.</w:t>
      </w:r>
      <w:r w:rsidR="003B6B21" w:rsidRPr="000540CD">
        <w:rPr>
          <w:color w:val="17365D" w:themeColor="text2" w:themeShade="BF"/>
          <w:szCs w:val="32"/>
        </w:rPr>
        <w:t>0</w:t>
      </w:r>
      <w:r w:rsidR="00BC2A2C" w:rsidRPr="000540CD">
        <w:rPr>
          <w:color w:val="17365D" w:themeColor="text2" w:themeShade="BF"/>
          <w:szCs w:val="32"/>
        </w:rPr>
        <w:t>5</w:t>
      </w:r>
      <w:r w:rsidR="004342A2" w:rsidRPr="000540CD">
        <w:rPr>
          <w:color w:val="17365D" w:themeColor="text2" w:themeShade="BF"/>
        </w:rPr>
        <w:t>.201</w:t>
      </w:r>
      <w:r w:rsidR="003B6B21" w:rsidRPr="000540CD">
        <w:rPr>
          <w:color w:val="17365D" w:themeColor="text2" w:themeShade="BF"/>
        </w:rPr>
        <w:t>5</w:t>
      </w:r>
      <w:r w:rsidR="004342A2" w:rsidRPr="000540CD">
        <w:rPr>
          <w:color w:val="17365D" w:themeColor="text2" w:themeShade="BF"/>
        </w:rPr>
        <w:t xml:space="preserve"> г.</w:t>
      </w:r>
      <w:r w:rsidR="004342A2" w:rsidRPr="000540CD">
        <w:rPr>
          <w:color w:val="17365D" w:themeColor="text2" w:themeShade="BF"/>
        </w:rPr>
        <w:tab/>
      </w:r>
      <w:r w:rsidR="004342A2" w:rsidRPr="000540CD">
        <w:rPr>
          <w:color w:val="17365D" w:themeColor="text2" w:themeShade="BF"/>
        </w:rPr>
        <w:tab/>
      </w:r>
      <w:r w:rsidR="004342A2" w:rsidRPr="000540CD">
        <w:rPr>
          <w:color w:val="17365D" w:themeColor="text2" w:themeShade="BF"/>
        </w:rPr>
        <w:tab/>
      </w:r>
      <w:r w:rsidR="004342A2" w:rsidRPr="000540CD">
        <w:rPr>
          <w:color w:val="17365D" w:themeColor="text2" w:themeShade="BF"/>
        </w:rPr>
        <w:tab/>
      </w:r>
      <w:r w:rsidR="004342A2" w:rsidRPr="000540CD">
        <w:rPr>
          <w:color w:val="17365D" w:themeColor="text2" w:themeShade="BF"/>
        </w:rPr>
        <w:tab/>
      </w:r>
      <w:r w:rsidR="004342A2" w:rsidRPr="000540CD">
        <w:rPr>
          <w:color w:val="17365D" w:themeColor="text2" w:themeShade="BF"/>
        </w:rPr>
        <w:tab/>
      </w:r>
      <w:r w:rsidR="004342A2" w:rsidRPr="000540CD">
        <w:rPr>
          <w:color w:val="17365D" w:themeColor="text2" w:themeShade="BF"/>
        </w:rPr>
        <w:tab/>
      </w:r>
      <w:r w:rsidR="004342A2" w:rsidRPr="000540CD">
        <w:rPr>
          <w:color w:val="17365D" w:themeColor="text2" w:themeShade="BF"/>
        </w:rPr>
        <w:tab/>
      </w:r>
      <w:r w:rsidR="004342A2" w:rsidRPr="000540CD">
        <w:rPr>
          <w:color w:val="17365D" w:themeColor="text2" w:themeShade="BF"/>
        </w:rPr>
        <w:tab/>
      </w:r>
      <w:r w:rsidR="004342A2" w:rsidRPr="000540CD">
        <w:rPr>
          <w:color w:val="17365D" w:themeColor="text2" w:themeShade="BF"/>
        </w:rPr>
        <w:tab/>
        <w:t xml:space="preserve">        № </w:t>
      </w:r>
      <w:r>
        <w:rPr>
          <w:color w:val="17365D" w:themeColor="text2" w:themeShade="BF"/>
        </w:rPr>
        <w:t>079</w:t>
      </w:r>
      <w:r w:rsidR="004342A2" w:rsidRPr="000540CD">
        <w:rPr>
          <w:color w:val="17365D" w:themeColor="text2" w:themeShade="BF"/>
        </w:rPr>
        <w:t xml:space="preserve"> -  П</w:t>
      </w:r>
    </w:p>
    <w:p w:rsidR="004342A2" w:rsidRPr="000540CD" w:rsidRDefault="004342A2" w:rsidP="004342A2">
      <w:pPr>
        <w:ind w:right="5395"/>
        <w:jc w:val="both"/>
        <w:rPr>
          <w:color w:val="17365D" w:themeColor="text2" w:themeShade="BF"/>
        </w:rPr>
      </w:pPr>
    </w:p>
    <w:p w:rsidR="004342A2" w:rsidRPr="000540CD" w:rsidRDefault="004342A2" w:rsidP="004342A2">
      <w:pPr>
        <w:ind w:right="-1"/>
        <w:jc w:val="both"/>
        <w:rPr>
          <w:b/>
          <w:color w:val="17365D" w:themeColor="text2" w:themeShade="BF"/>
        </w:rPr>
      </w:pPr>
      <w:r w:rsidRPr="000540CD">
        <w:rPr>
          <w:b/>
          <w:color w:val="17365D" w:themeColor="text2" w:themeShade="BF"/>
        </w:rPr>
        <w:t>О</w:t>
      </w:r>
      <w:r w:rsidR="003B6B21" w:rsidRPr="000540CD">
        <w:rPr>
          <w:b/>
          <w:color w:val="17365D" w:themeColor="text2" w:themeShade="BF"/>
        </w:rPr>
        <w:t xml:space="preserve"> внесении изменений в Постановление администрации сельского поселения Хатанга от </w:t>
      </w:r>
      <w:r w:rsidR="008567D3" w:rsidRPr="000540CD">
        <w:rPr>
          <w:b/>
          <w:color w:val="17365D" w:themeColor="text2" w:themeShade="BF"/>
        </w:rPr>
        <w:t>2</w:t>
      </w:r>
      <w:r w:rsidR="003B6B21" w:rsidRPr="000540CD">
        <w:rPr>
          <w:b/>
          <w:color w:val="17365D" w:themeColor="text2" w:themeShade="BF"/>
        </w:rPr>
        <w:t>0.</w:t>
      </w:r>
      <w:r w:rsidR="008567D3" w:rsidRPr="000540CD">
        <w:rPr>
          <w:b/>
          <w:color w:val="17365D" w:themeColor="text2" w:themeShade="BF"/>
        </w:rPr>
        <w:t>10</w:t>
      </w:r>
      <w:r w:rsidR="003B6B21" w:rsidRPr="000540CD">
        <w:rPr>
          <w:b/>
          <w:color w:val="17365D" w:themeColor="text2" w:themeShade="BF"/>
        </w:rPr>
        <w:t>.201</w:t>
      </w:r>
      <w:r w:rsidR="008567D3" w:rsidRPr="000540CD">
        <w:rPr>
          <w:b/>
          <w:color w:val="17365D" w:themeColor="text2" w:themeShade="BF"/>
        </w:rPr>
        <w:t>4</w:t>
      </w:r>
      <w:r w:rsidR="003B6B21" w:rsidRPr="000540CD">
        <w:rPr>
          <w:b/>
          <w:color w:val="17365D" w:themeColor="text2" w:themeShade="BF"/>
        </w:rPr>
        <w:t xml:space="preserve"> г. №</w:t>
      </w:r>
      <w:r w:rsidR="008567D3" w:rsidRPr="000540CD">
        <w:rPr>
          <w:b/>
          <w:color w:val="17365D" w:themeColor="text2" w:themeShade="BF"/>
        </w:rPr>
        <w:t xml:space="preserve"> 132-П «Об утверждении Положения об оплате труда работников  администрации сельского поселения Хатанга, не являющихся лицами, замещающими  муниципальные должности и должности муниципальной службы»</w:t>
      </w:r>
    </w:p>
    <w:p w:rsidR="004342A2" w:rsidRPr="000540CD" w:rsidRDefault="004342A2" w:rsidP="004342A2">
      <w:pPr>
        <w:ind w:right="5395"/>
        <w:jc w:val="both"/>
        <w:rPr>
          <w:color w:val="17365D" w:themeColor="text2" w:themeShade="BF"/>
        </w:rPr>
      </w:pPr>
    </w:p>
    <w:p w:rsidR="00486EBD" w:rsidRPr="000540CD" w:rsidRDefault="004342A2" w:rsidP="00486EBD">
      <w:pPr>
        <w:tabs>
          <w:tab w:val="left" w:pos="709"/>
        </w:tabs>
        <w:jc w:val="both"/>
        <w:rPr>
          <w:color w:val="17365D" w:themeColor="text2" w:themeShade="BF"/>
        </w:rPr>
      </w:pPr>
      <w:r w:rsidRPr="000540CD">
        <w:rPr>
          <w:color w:val="17365D" w:themeColor="text2" w:themeShade="BF"/>
        </w:rPr>
        <w:tab/>
      </w:r>
      <w:proofErr w:type="gramStart"/>
      <w:r w:rsidRPr="000540CD">
        <w:rPr>
          <w:color w:val="17365D" w:themeColor="text2" w:themeShade="BF"/>
        </w:rPr>
        <w:t xml:space="preserve">В </w:t>
      </w:r>
      <w:r w:rsidR="006B602A" w:rsidRPr="000540CD">
        <w:rPr>
          <w:color w:val="17365D" w:themeColor="text2" w:themeShade="BF"/>
        </w:rPr>
        <w:t>целях реализации</w:t>
      </w:r>
      <w:r w:rsidRPr="000540CD">
        <w:rPr>
          <w:color w:val="17365D" w:themeColor="text2" w:themeShade="BF"/>
        </w:rPr>
        <w:t xml:space="preserve"> </w:t>
      </w:r>
      <w:r w:rsidR="006B602A" w:rsidRPr="000540CD">
        <w:rPr>
          <w:color w:val="17365D" w:themeColor="text2" w:themeShade="BF"/>
        </w:rPr>
        <w:t>Решения</w:t>
      </w:r>
      <w:r w:rsidRPr="000540CD">
        <w:rPr>
          <w:color w:val="17365D" w:themeColor="text2" w:themeShade="BF"/>
        </w:rPr>
        <w:t xml:space="preserve"> </w:t>
      </w:r>
      <w:proofErr w:type="spellStart"/>
      <w:r w:rsidRPr="000540CD">
        <w:rPr>
          <w:color w:val="17365D" w:themeColor="text2" w:themeShade="BF"/>
        </w:rPr>
        <w:t>Хатангского</w:t>
      </w:r>
      <w:proofErr w:type="spellEnd"/>
      <w:r w:rsidRPr="000540CD">
        <w:rPr>
          <w:color w:val="17365D" w:themeColor="text2" w:themeShade="BF"/>
        </w:rPr>
        <w:t xml:space="preserve"> сельского  Совета депутатов от </w:t>
      </w:r>
      <w:r w:rsidR="00D72464" w:rsidRPr="000540CD">
        <w:rPr>
          <w:color w:val="17365D" w:themeColor="text2" w:themeShade="BF"/>
        </w:rPr>
        <w:t>26</w:t>
      </w:r>
      <w:r w:rsidRPr="000540CD">
        <w:rPr>
          <w:color w:val="17365D" w:themeColor="text2" w:themeShade="BF"/>
        </w:rPr>
        <w:t>.09.201</w:t>
      </w:r>
      <w:r w:rsidR="00D72464" w:rsidRPr="000540CD">
        <w:rPr>
          <w:color w:val="17365D" w:themeColor="text2" w:themeShade="BF"/>
        </w:rPr>
        <w:t>4</w:t>
      </w:r>
      <w:r w:rsidRPr="000540CD">
        <w:rPr>
          <w:color w:val="17365D" w:themeColor="text2" w:themeShade="BF"/>
        </w:rPr>
        <w:t xml:space="preserve"> г. № 1</w:t>
      </w:r>
      <w:r w:rsidR="00D72464" w:rsidRPr="000540CD">
        <w:rPr>
          <w:color w:val="17365D" w:themeColor="text2" w:themeShade="BF"/>
        </w:rPr>
        <w:t>53</w:t>
      </w:r>
      <w:r w:rsidRPr="000540CD">
        <w:rPr>
          <w:color w:val="17365D" w:themeColor="text2" w:themeShade="BF"/>
        </w:rPr>
        <w:t xml:space="preserve">-РС «Об утверждении Положения о </w:t>
      </w:r>
      <w:r w:rsidR="00D72464" w:rsidRPr="000540CD">
        <w:rPr>
          <w:color w:val="17365D" w:themeColor="text2" w:themeShade="BF"/>
        </w:rPr>
        <w:t>системах</w:t>
      </w:r>
      <w:r w:rsidRPr="000540CD">
        <w:rPr>
          <w:color w:val="17365D" w:themeColor="text2" w:themeShade="BF"/>
        </w:rPr>
        <w:t xml:space="preserve"> оплаты труда работников муниципальных </w:t>
      </w:r>
      <w:r w:rsidR="00D72464" w:rsidRPr="000540CD">
        <w:rPr>
          <w:color w:val="17365D" w:themeColor="text2" w:themeShade="BF"/>
        </w:rPr>
        <w:t xml:space="preserve">учреждений </w:t>
      </w:r>
      <w:r w:rsidRPr="000540CD">
        <w:rPr>
          <w:color w:val="17365D" w:themeColor="text2" w:themeShade="BF"/>
        </w:rPr>
        <w:t xml:space="preserve">сельского поселения Хатанга», </w:t>
      </w:r>
      <w:r w:rsidR="006B602A" w:rsidRPr="000540CD">
        <w:rPr>
          <w:color w:val="17365D" w:themeColor="text2" w:themeShade="BF"/>
        </w:rPr>
        <w:t>на основании</w:t>
      </w:r>
      <w:r w:rsidR="00486EBD" w:rsidRPr="000540CD">
        <w:rPr>
          <w:color w:val="17365D" w:themeColor="text2" w:themeShade="BF"/>
        </w:rPr>
        <w:t xml:space="preserve"> Постановления администрации сельского поселения Хатанга от 30.09.2014 г. № 122-П «Об утверждении Примерного положения об оплате труда работников  администрации сельского поселения Хатанга и структурных подразделений администрации сельского поселения Хатанга, не являющихся лицами, замещающими  муниципальные</w:t>
      </w:r>
      <w:proofErr w:type="gramEnd"/>
      <w:r w:rsidR="00486EBD" w:rsidRPr="000540CD">
        <w:rPr>
          <w:color w:val="17365D" w:themeColor="text2" w:themeShade="BF"/>
        </w:rPr>
        <w:t xml:space="preserve"> должности и должности муниципальной службы»,</w:t>
      </w:r>
    </w:p>
    <w:p w:rsidR="004342A2" w:rsidRPr="000540CD" w:rsidRDefault="004342A2" w:rsidP="004342A2">
      <w:pPr>
        <w:ind w:firstLine="540"/>
        <w:jc w:val="center"/>
        <w:rPr>
          <w:b/>
          <w:color w:val="17365D" w:themeColor="text2" w:themeShade="BF"/>
        </w:rPr>
      </w:pPr>
    </w:p>
    <w:p w:rsidR="004342A2" w:rsidRPr="000540CD" w:rsidRDefault="004342A2" w:rsidP="004342A2">
      <w:pPr>
        <w:ind w:firstLine="540"/>
        <w:jc w:val="center"/>
        <w:rPr>
          <w:b/>
          <w:color w:val="17365D" w:themeColor="text2" w:themeShade="BF"/>
        </w:rPr>
      </w:pPr>
      <w:r w:rsidRPr="000540CD">
        <w:rPr>
          <w:b/>
          <w:color w:val="17365D" w:themeColor="text2" w:themeShade="BF"/>
        </w:rPr>
        <w:t>ПОСТАНОВЛЯЮ:</w:t>
      </w:r>
    </w:p>
    <w:p w:rsidR="004342A2" w:rsidRPr="000540CD" w:rsidRDefault="004342A2" w:rsidP="004342A2">
      <w:pPr>
        <w:ind w:firstLine="540"/>
        <w:jc w:val="center"/>
        <w:rPr>
          <w:b/>
          <w:color w:val="17365D" w:themeColor="text2" w:themeShade="BF"/>
        </w:rPr>
      </w:pPr>
    </w:p>
    <w:p w:rsidR="00FB5D68" w:rsidRPr="000540CD" w:rsidRDefault="00FB5D68" w:rsidP="00FB5D68">
      <w:pPr>
        <w:numPr>
          <w:ilvl w:val="0"/>
          <w:numId w:val="1"/>
        </w:numPr>
        <w:jc w:val="both"/>
        <w:rPr>
          <w:color w:val="17365D" w:themeColor="text2" w:themeShade="BF"/>
        </w:rPr>
      </w:pPr>
      <w:proofErr w:type="gramStart"/>
      <w:r w:rsidRPr="000540CD">
        <w:rPr>
          <w:color w:val="17365D" w:themeColor="text2" w:themeShade="BF"/>
        </w:rPr>
        <w:t>Внести в Положение об оплате труда работников  администрации сельского поселения Хатанга, не являющихся лицами, замещающими  муниципальные должности и должности муниципальной службы, утвержденное Постановлением администрации сельского поселения Хатанга от 20.10.2014</w:t>
      </w:r>
      <w:r w:rsidR="001602F0" w:rsidRPr="000540CD">
        <w:rPr>
          <w:color w:val="17365D" w:themeColor="text2" w:themeShade="BF"/>
        </w:rPr>
        <w:t xml:space="preserve"> </w:t>
      </w:r>
      <w:r w:rsidRPr="000540CD">
        <w:rPr>
          <w:color w:val="17365D" w:themeColor="text2" w:themeShade="BF"/>
        </w:rPr>
        <w:t>г. № 132-П  (далее</w:t>
      </w:r>
      <w:proofErr w:type="gramEnd"/>
      <w:r w:rsidRPr="000540CD">
        <w:rPr>
          <w:color w:val="17365D" w:themeColor="text2" w:themeShade="BF"/>
        </w:rPr>
        <w:t xml:space="preserve"> - </w:t>
      </w:r>
      <w:proofErr w:type="gramStart"/>
      <w:r w:rsidRPr="000540CD">
        <w:rPr>
          <w:color w:val="17365D" w:themeColor="text2" w:themeShade="BF"/>
        </w:rPr>
        <w:t>Положение) следующие изменения:</w:t>
      </w:r>
      <w:proofErr w:type="gramEnd"/>
    </w:p>
    <w:p w:rsidR="004C6520" w:rsidRPr="000540CD" w:rsidRDefault="00BC2A2C" w:rsidP="004C6520">
      <w:pPr>
        <w:ind w:left="644"/>
        <w:jc w:val="both"/>
        <w:rPr>
          <w:color w:val="17365D" w:themeColor="text2" w:themeShade="BF"/>
        </w:rPr>
      </w:pPr>
      <w:r w:rsidRPr="000540CD">
        <w:rPr>
          <w:color w:val="17365D" w:themeColor="text2" w:themeShade="BF"/>
        </w:rPr>
        <w:t xml:space="preserve">1.1 подпункт </w:t>
      </w:r>
      <w:r w:rsidR="004C6520" w:rsidRPr="000540CD">
        <w:rPr>
          <w:color w:val="17365D" w:themeColor="text2" w:themeShade="BF"/>
        </w:rPr>
        <w:t>4</w:t>
      </w:r>
      <w:r w:rsidRPr="000540CD">
        <w:rPr>
          <w:color w:val="17365D" w:themeColor="text2" w:themeShade="BF"/>
        </w:rPr>
        <w:t>.</w:t>
      </w:r>
      <w:r w:rsidR="004C6520" w:rsidRPr="000540CD">
        <w:rPr>
          <w:color w:val="17365D" w:themeColor="text2" w:themeShade="BF"/>
        </w:rPr>
        <w:t>2.4</w:t>
      </w:r>
      <w:r w:rsidRPr="000540CD">
        <w:rPr>
          <w:color w:val="17365D" w:themeColor="text2" w:themeShade="BF"/>
        </w:rPr>
        <w:t xml:space="preserve"> </w:t>
      </w:r>
      <w:r w:rsidR="004C6520" w:rsidRPr="000540CD">
        <w:rPr>
          <w:color w:val="17365D" w:themeColor="text2" w:themeShade="BF"/>
        </w:rPr>
        <w:t xml:space="preserve">изложить в следующей редакции:  </w:t>
      </w:r>
    </w:p>
    <w:p w:rsidR="004C6520" w:rsidRPr="000540CD" w:rsidRDefault="004C6520" w:rsidP="004C6520">
      <w:pPr>
        <w:ind w:left="644"/>
        <w:jc w:val="both"/>
        <w:rPr>
          <w:color w:val="17365D" w:themeColor="text2" w:themeShade="BF"/>
        </w:rPr>
      </w:pPr>
      <w:r w:rsidRPr="000540CD">
        <w:rPr>
          <w:color w:val="17365D" w:themeColor="text2" w:themeShade="BF"/>
        </w:rPr>
        <w:t xml:space="preserve">«4.2.4. </w:t>
      </w:r>
      <w:proofErr w:type="gramStart"/>
      <w:r w:rsidRPr="000540CD">
        <w:rPr>
          <w:color w:val="17365D" w:themeColor="text2" w:themeShade="BF"/>
        </w:rPr>
        <w:t>Персональные выплаты в целях обеспечения заработной платы работника администрации на уровне размера минимальной заработной платы (минимального размера оплаты труда) производятся работникам администрации, месячная заработная плата которых при полностью отработанной норме рабочего времени и выполненной норме труда (трудовых обязанностей) с учетом выплат компенсационного и стимулирующего характера ниже размера минимальной заработной платы, установленного в Красноярском крае, в размере, определяемом как разница между</w:t>
      </w:r>
      <w:proofErr w:type="gramEnd"/>
      <w:r w:rsidRPr="000540CD">
        <w:rPr>
          <w:color w:val="17365D" w:themeColor="text2" w:themeShade="BF"/>
        </w:rPr>
        <w:t xml:space="preserve"> размером минимальной заработной платы, установленным в Красноярском крае, и величиной заработной платы конкретного работника администрации за соответствующий период времени.</w:t>
      </w:r>
    </w:p>
    <w:p w:rsidR="004C6520" w:rsidRPr="000540CD" w:rsidRDefault="004C6520" w:rsidP="004C6520">
      <w:pPr>
        <w:ind w:left="644"/>
        <w:jc w:val="both"/>
        <w:rPr>
          <w:color w:val="17365D" w:themeColor="text2" w:themeShade="BF"/>
        </w:rPr>
      </w:pPr>
      <w:r w:rsidRPr="000540CD">
        <w:rPr>
          <w:color w:val="17365D" w:themeColor="text2" w:themeShade="BF"/>
        </w:rPr>
        <w:t xml:space="preserve">        </w:t>
      </w:r>
      <w:proofErr w:type="gramStart"/>
      <w:r w:rsidRPr="000540CD">
        <w:rPr>
          <w:color w:val="17365D" w:themeColor="text2" w:themeShade="BF"/>
        </w:rPr>
        <w:t>Работникам администрации, месячная заработная плата которых по основному месту работы при не полностью отработанной норме рабочего времени с учетом выплат компенсационного и стимулирующего характера ниже размера минимальной заработной платы, установленного в Красноярском крае, исчисленного пропорционально отработанному работником администрации</w:t>
      </w:r>
      <w:bookmarkStart w:id="0" w:name="_GoBack"/>
      <w:bookmarkEnd w:id="0"/>
      <w:r w:rsidRPr="000540CD">
        <w:rPr>
          <w:color w:val="17365D" w:themeColor="text2" w:themeShade="BF"/>
        </w:rPr>
        <w:t xml:space="preserve"> времени, указанные персональные выплаты производятся в размере, определяемом </w:t>
      </w:r>
      <w:r w:rsidRPr="000540CD">
        <w:rPr>
          <w:color w:val="17365D" w:themeColor="text2" w:themeShade="BF"/>
        </w:rPr>
        <w:lastRenderedPageBreak/>
        <w:t>для каждого работника как разница между размером минимальной заработной платы, установленным в Красноярском крае</w:t>
      </w:r>
      <w:proofErr w:type="gramEnd"/>
      <w:r w:rsidRPr="000540CD">
        <w:rPr>
          <w:color w:val="17365D" w:themeColor="text2" w:themeShade="BF"/>
        </w:rPr>
        <w:t xml:space="preserve">, </w:t>
      </w:r>
      <w:proofErr w:type="gramStart"/>
      <w:r w:rsidRPr="000540CD">
        <w:rPr>
          <w:color w:val="17365D" w:themeColor="text2" w:themeShade="BF"/>
        </w:rPr>
        <w:t>исчисленным пропорционально отработанному работником администрации времени, и величиной заработной платы конкретного работника администрации за соответствующий период времени.»</w:t>
      </w:r>
      <w:proofErr w:type="gramEnd"/>
    </w:p>
    <w:p w:rsidR="004C6520" w:rsidRPr="000540CD" w:rsidRDefault="004C6520" w:rsidP="004C6520">
      <w:pPr>
        <w:ind w:left="644"/>
        <w:jc w:val="both"/>
        <w:rPr>
          <w:color w:val="17365D" w:themeColor="text2" w:themeShade="BF"/>
        </w:rPr>
      </w:pPr>
    </w:p>
    <w:p w:rsidR="00706B48" w:rsidRPr="000540CD" w:rsidRDefault="00BC2A2C" w:rsidP="004C6520">
      <w:pPr>
        <w:ind w:left="644"/>
        <w:jc w:val="both"/>
        <w:rPr>
          <w:color w:val="17365D" w:themeColor="text2" w:themeShade="BF"/>
        </w:rPr>
      </w:pPr>
      <w:r w:rsidRPr="000540CD">
        <w:rPr>
          <w:color w:val="17365D" w:themeColor="text2" w:themeShade="BF"/>
        </w:rPr>
        <w:t xml:space="preserve">1.2  подпункт 4.2.5 изложить в следующей редакции:  </w:t>
      </w:r>
    </w:p>
    <w:p w:rsidR="004C6520" w:rsidRPr="000540CD" w:rsidRDefault="004C6520" w:rsidP="004C6520">
      <w:pPr>
        <w:ind w:left="644"/>
        <w:jc w:val="both"/>
        <w:rPr>
          <w:color w:val="17365D" w:themeColor="text2" w:themeShade="BF"/>
        </w:rPr>
      </w:pPr>
    </w:p>
    <w:p w:rsidR="00C556AB" w:rsidRPr="000540CD" w:rsidRDefault="00BC2A2C" w:rsidP="00BC2A2C">
      <w:pPr>
        <w:widowControl w:val="0"/>
        <w:autoSpaceDE w:val="0"/>
        <w:autoSpaceDN w:val="0"/>
        <w:adjustRightInd w:val="0"/>
        <w:ind w:firstLine="540"/>
        <w:jc w:val="both"/>
        <w:rPr>
          <w:color w:val="17365D" w:themeColor="text2" w:themeShade="BF"/>
        </w:rPr>
      </w:pPr>
      <w:r w:rsidRPr="000540CD">
        <w:rPr>
          <w:color w:val="17365D" w:themeColor="text2" w:themeShade="BF"/>
        </w:rPr>
        <w:t xml:space="preserve">«4.2.5. Наличие условий предоставления персональных выплат в целях обеспечения заработной платы работника на уровне не ниже размера минимальной заработной платы (минимального </w:t>
      </w:r>
      <w:proofErr w:type="gramStart"/>
      <w:r w:rsidRPr="000540CD">
        <w:rPr>
          <w:color w:val="17365D" w:themeColor="text2" w:themeShade="BF"/>
        </w:rPr>
        <w:t>размера оплаты труда</w:t>
      </w:r>
      <w:proofErr w:type="gramEnd"/>
      <w:r w:rsidRPr="000540CD">
        <w:rPr>
          <w:color w:val="17365D" w:themeColor="text2" w:themeShade="BF"/>
        </w:rPr>
        <w:t>) проверяется ежемесячно при начислении заработной платы. Дополнительные письменные основания предоставления указанных персональных выплат не требуются</w:t>
      </w:r>
      <w:proofErr w:type="gramStart"/>
      <w:r w:rsidRPr="000540CD">
        <w:rPr>
          <w:color w:val="17365D" w:themeColor="text2" w:themeShade="BF"/>
        </w:rPr>
        <w:t>.»</w:t>
      </w:r>
      <w:proofErr w:type="gramEnd"/>
    </w:p>
    <w:p w:rsidR="00BC2A2C" w:rsidRPr="000540CD" w:rsidRDefault="00BC2A2C" w:rsidP="00BC2A2C">
      <w:pPr>
        <w:widowControl w:val="0"/>
        <w:autoSpaceDE w:val="0"/>
        <w:autoSpaceDN w:val="0"/>
        <w:adjustRightInd w:val="0"/>
        <w:ind w:firstLine="540"/>
        <w:jc w:val="both"/>
        <w:rPr>
          <w:color w:val="17365D" w:themeColor="text2" w:themeShade="BF"/>
        </w:rPr>
      </w:pPr>
    </w:p>
    <w:p w:rsidR="004342A2" w:rsidRPr="000540CD" w:rsidRDefault="006B602A" w:rsidP="00706B48">
      <w:pPr>
        <w:pStyle w:val="a6"/>
        <w:numPr>
          <w:ilvl w:val="0"/>
          <w:numId w:val="1"/>
        </w:numPr>
        <w:jc w:val="both"/>
        <w:rPr>
          <w:color w:val="17365D" w:themeColor="text2" w:themeShade="BF"/>
        </w:rPr>
      </w:pPr>
      <w:r w:rsidRPr="000540CD">
        <w:rPr>
          <w:color w:val="17365D" w:themeColor="text2" w:themeShade="BF"/>
        </w:rPr>
        <w:t>Постановление вступает в силу со дня подписания</w:t>
      </w:r>
      <w:r w:rsidR="00D369F6" w:rsidRPr="000540CD">
        <w:rPr>
          <w:color w:val="17365D" w:themeColor="text2" w:themeShade="BF"/>
        </w:rPr>
        <w:t>,</w:t>
      </w:r>
      <w:r w:rsidRPr="000540CD">
        <w:rPr>
          <w:color w:val="17365D" w:themeColor="text2" w:themeShade="BF"/>
        </w:rPr>
        <w:t xml:space="preserve"> </w:t>
      </w:r>
      <w:r w:rsidR="00BC2A2C" w:rsidRPr="000540CD">
        <w:rPr>
          <w:color w:val="17365D" w:themeColor="text2" w:themeShade="BF"/>
        </w:rPr>
        <w:t xml:space="preserve">но не ранее 1 июня 2015 года, </w:t>
      </w:r>
      <w:r w:rsidRPr="000540CD">
        <w:rPr>
          <w:color w:val="17365D" w:themeColor="text2" w:themeShade="BF"/>
        </w:rPr>
        <w:t>подлежит официальному опубликованию</w:t>
      </w:r>
      <w:r w:rsidR="00D369F6" w:rsidRPr="000540CD">
        <w:rPr>
          <w:color w:val="17365D" w:themeColor="text2" w:themeShade="BF"/>
        </w:rPr>
        <w:t xml:space="preserve"> и размещению на сайте органов местного самоуправления сельского поселения Хатанга</w:t>
      </w:r>
      <w:r w:rsidRPr="000540CD">
        <w:rPr>
          <w:color w:val="17365D" w:themeColor="text2" w:themeShade="BF"/>
        </w:rPr>
        <w:t>.</w:t>
      </w:r>
      <w:r w:rsidR="004342A2" w:rsidRPr="000540CD">
        <w:rPr>
          <w:color w:val="17365D" w:themeColor="text2" w:themeShade="BF"/>
        </w:rPr>
        <w:t xml:space="preserve">    </w:t>
      </w:r>
    </w:p>
    <w:p w:rsidR="004342A2" w:rsidRPr="000540CD" w:rsidRDefault="004342A2" w:rsidP="004342A2">
      <w:pPr>
        <w:jc w:val="both"/>
        <w:rPr>
          <w:color w:val="17365D" w:themeColor="text2" w:themeShade="BF"/>
        </w:rPr>
      </w:pPr>
    </w:p>
    <w:p w:rsidR="004342A2" w:rsidRPr="000540CD" w:rsidRDefault="004342A2" w:rsidP="00706B48">
      <w:pPr>
        <w:pStyle w:val="a6"/>
        <w:numPr>
          <w:ilvl w:val="0"/>
          <w:numId w:val="1"/>
        </w:numPr>
        <w:jc w:val="both"/>
        <w:rPr>
          <w:color w:val="17365D" w:themeColor="text2" w:themeShade="BF"/>
        </w:rPr>
      </w:pPr>
      <w:proofErr w:type="gramStart"/>
      <w:r w:rsidRPr="000540CD">
        <w:rPr>
          <w:color w:val="17365D" w:themeColor="text2" w:themeShade="BF"/>
        </w:rPr>
        <w:t>Контроль за</w:t>
      </w:r>
      <w:proofErr w:type="gramEnd"/>
      <w:r w:rsidRPr="000540CD">
        <w:rPr>
          <w:color w:val="17365D" w:themeColor="text2" w:themeShade="BF"/>
        </w:rPr>
        <w:t xml:space="preserve"> исполнением настоящего Постановления оставляю за собой.</w:t>
      </w:r>
    </w:p>
    <w:p w:rsidR="004342A2" w:rsidRPr="000540CD" w:rsidRDefault="004342A2" w:rsidP="004342A2">
      <w:pPr>
        <w:jc w:val="both"/>
        <w:rPr>
          <w:color w:val="17365D" w:themeColor="text2" w:themeShade="BF"/>
        </w:rPr>
      </w:pPr>
      <w:r w:rsidRPr="000540CD">
        <w:rPr>
          <w:color w:val="17365D" w:themeColor="text2" w:themeShade="BF"/>
        </w:rPr>
        <w:t xml:space="preserve"> </w:t>
      </w:r>
    </w:p>
    <w:p w:rsidR="00065DDC" w:rsidRPr="000540CD" w:rsidRDefault="00065DDC" w:rsidP="004342A2">
      <w:pPr>
        <w:jc w:val="both"/>
        <w:rPr>
          <w:color w:val="17365D" w:themeColor="text2" w:themeShade="BF"/>
        </w:rPr>
      </w:pPr>
    </w:p>
    <w:p w:rsidR="00065DDC" w:rsidRPr="000540CD" w:rsidRDefault="00065DDC" w:rsidP="004342A2">
      <w:pPr>
        <w:jc w:val="both"/>
        <w:rPr>
          <w:color w:val="17365D" w:themeColor="text2" w:themeShade="BF"/>
        </w:rPr>
      </w:pPr>
    </w:p>
    <w:p w:rsidR="004342A2" w:rsidRPr="000540CD" w:rsidRDefault="004342A2" w:rsidP="004342A2">
      <w:pPr>
        <w:jc w:val="both"/>
        <w:rPr>
          <w:color w:val="17365D" w:themeColor="text2" w:themeShade="BF"/>
        </w:rPr>
      </w:pPr>
    </w:p>
    <w:p w:rsidR="004342A2" w:rsidRPr="000540CD" w:rsidRDefault="004342A2" w:rsidP="004342A2">
      <w:pPr>
        <w:jc w:val="both"/>
        <w:rPr>
          <w:color w:val="17365D" w:themeColor="text2" w:themeShade="BF"/>
        </w:rPr>
      </w:pPr>
      <w:r w:rsidRPr="000540CD">
        <w:rPr>
          <w:color w:val="17365D" w:themeColor="text2" w:themeShade="BF"/>
        </w:rPr>
        <w:t xml:space="preserve">И.о. Руководителя администрации </w:t>
      </w:r>
    </w:p>
    <w:p w:rsidR="004342A2" w:rsidRPr="009F5C1A" w:rsidRDefault="004342A2" w:rsidP="004342A2">
      <w:pPr>
        <w:jc w:val="both"/>
      </w:pPr>
      <w:r w:rsidRPr="000540CD">
        <w:rPr>
          <w:color w:val="17365D" w:themeColor="text2" w:themeShade="BF"/>
        </w:rPr>
        <w:t>сельского поселения Хатанга</w:t>
      </w:r>
      <w:r w:rsidRPr="000540CD">
        <w:rPr>
          <w:color w:val="17365D" w:themeColor="text2" w:themeShade="BF"/>
        </w:rPr>
        <w:tab/>
      </w:r>
      <w:r w:rsidRPr="000540CD">
        <w:rPr>
          <w:color w:val="17365D" w:themeColor="text2" w:themeShade="BF"/>
        </w:rPr>
        <w:tab/>
      </w:r>
      <w:r w:rsidRPr="000540CD">
        <w:rPr>
          <w:color w:val="17365D" w:themeColor="text2" w:themeShade="BF"/>
        </w:rPr>
        <w:tab/>
      </w:r>
      <w:r w:rsidRPr="000540CD">
        <w:rPr>
          <w:color w:val="17365D" w:themeColor="text2" w:themeShade="BF"/>
        </w:rPr>
        <w:tab/>
      </w:r>
      <w:r w:rsidRPr="000540CD">
        <w:rPr>
          <w:color w:val="17365D" w:themeColor="text2" w:themeShade="BF"/>
        </w:rPr>
        <w:tab/>
      </w:r>
      <w:r w:rsidRPr="000540CD">
        <w:rPr>
          <w:color w:val="17365D" w:themeColor="text2" w:themeShade="BF"/>
        </w:rPr>
        <w:tab/>
        <w:t xml:space="preserve">             Е.А. Бондарев</w:t>
      </w:r>
    </w:p>
    <w:p w:rsidR="006B602A" w:rsidRDefault="006B602A" w:rsidP="004342A2">
      <w:pPr>
        <w:widowControl w:val="0"/>
        <w:autoSpaceDE w:val="0"/>
        <w:autoSpaceDN w:val="0"/>
        <w:adjustRightInd w:val="0"/>
        <w:ind w:firstLine="6237"/>
        <w:outlineLvl w:val="0"/>
        <w:rPr>
          <w:b/>
          <w:sz w:val="20"/>
          <w:szCs w:val="20"/>
        </w:rPr>
      </w:pPr>
    </w:p>
    <w:p w:rsidR="006B602A" w:rsidRDefault="006B602A" w:rsidP="004342A2">
      <w:pPr>
        <w:widowControl w:val="0"/>
        <w:autoSpaceDE w:val="0"/>
        <w:autoSpaceDN w:val="0"/>
        <w:adjustRightInd w:val="0"/>
        <w:ind w:firstLine="6237"/>
        <w:outlineLvl w:val="0"/>
        <w:rPr>
          <w:b/>
          <w:sz w:val="20"/>
          <w:szCs w:val="20"/>
        </w:rPr>
      </w:pPr>
    </w:p>
    <w:p w:rsidR="006B602A" w:rsidRDefault="006B602A" w:rsidP="004342A2">
      <w:pPr>
        <w:widowControl w:val="0"/>
        <w:autoSpaceDE w:val="0"/>
        <w:autoSpaceDN w:val="0"/>
        <w:adjustRightInd w:val="0"/>
        <w:ind w:firstLine="6237"/>
        <w:outlineLvl w:val="0"/>
        <w:rPr>
          <w:b/>
          <w:sz w:val="20"/>
          <w:szCs w:val="20"/>
        </w:rPr>
      </w:pPr>
    </w:p>
    <w:p w:rsidR="00706B48" w:rsidRDefault="00706B48" w:rsidP="004342A2">
      <w:pPr>
        <w:widowControl w:val="0"/>
        <w:autoSpaceDE w:val="0"/>
        <w:autoSpaceDN w:val="0"/>
        <w:adjustRightInd w:val="0"/>
        <w:ind w:firstLine="6237"/>
        <w:outlineLvl w:val="0"/>
        <w:rPr>
          <w:b/>
          <w:sz w:val="20"/>
          <w:szCs w:val="20"/>
        </w:rPr>
      </w:pPr>
    </w:p>
    <w:p w:rsidR="00706B48" w:rsidRDefault="00706B48" w:rsidP="004342A2">
      <w:pPr>
        <w:widowControl w:val="0"/>
        <w:autoSpaceDE w:val="0"/>
        <w:autoSpaceDN w:val="0"/>
        <w:adjustRightInd w:val="0"/>
        <w:ind w:firstLine="6237"/>
        <w:outlineLvl w:val="0"/>
        <w:rPr>
          <w:b/>
          <w:sz w:val="20"/>
          <w:szCs w:val="20"/>
        </w:rPr>
      </w:pPr>
    </w:p>
    <w:p w:rsidR="00706B48" w:rsidRDefault="00706B48" w:rsidP="004342A2">
      <w:pPr>
        <w:widowControl w:val="0"/>
        <w:autoSpaceDE w:val="0"/>
        <w:autoSpaceDN w:val="0"/>
        <w:adjustRightInd w:val="0"/>
        <w:ind w:firstLine="6237"/>
        <w:outlineLvl w:val="0"/>
        <w:rPr>
          <w:b/>
          <w:sz w:val="20"/>
          <w:szCs w:val="20"/>
        </w:rPr>
      </w:pPr>
    </w:p>
    <w:p w:rsidR="00706B48" w:rsidRDefault="00706B48" w:rsidP="004342A2">
      <w:pPr>
        <w:widowControl w:val="0"/>
        <w:autoSpaceDE w:val="0"/>
        <w:autoSpaceDN w:val="0"/>
        <w:adjustRightInd w:val="0"/>
        <w:ind w:firstLine="6237"/>
        <w:outlineLvl w:val="0"/>
        <w:rPr>
          <w:b/>
          <w:sz w:val="20"/>
          <w:szCs w:val="20"/>
        </w:rPr>
      </w:pPr>
    </w:p>
    <w:p w:rsidR="00706B48" w:rsidRDefault="00706B48" w:rsidP="004342A2">
      <w:pPr>
        <w:widowControl w:val="0"/>
        <w:autoSpaceDE w:val="0"/>
        <w:autoSpaceDN w:val="0"/>
        <w:adjustRightInd w:val="0"/>
        <w:ind w:firstLine="6237"/>
        <w:outlineLvl w:val="0"/>
        <w:rPr>
          <w:b/>
          <w:sz w:val="20"/>
          <w:szCs w:val="20"/>
        </w:rPr>
      </w:pPr>
    </w:p>
    <w:p w:rsidR="00706B48" w:rsidRDefault="00706B48" w:rsidP="004342A2">
      <w:pPr>
        <w:widowControl w:val="0"/>
        <w:autoSpaceDE w:val="0"/>
        <w:autoSpaceDN w:val="0"/>
        <w:adjustRightInd w:val="0"/>
        <w:ind w:firstLine="6237"/>
        <w:outlineLvl w:val="0"/>
        <w:rPr>
          <w:b/>
          <w:sz w:val="20"/>
          <w:szCs w:val="20"/>
        </w:rPr>
      </w:pPr>
    </w:p>
    <w:p w:rsidR="00706B48" w:rsidRDefault="00706B48" w:rsidP="004342A2">
      <w:pPr>
        <w:widowControl w:val="0"/>
        <w:autoSpaceDE w:val="0"/>
        <w:autoSpaceDN w:val="0"/>
        <w:adjustRightInd w:val="0"/>
        <w:ind w:firstLine="6237"/>
        <w:outlineLvl w:val="0"/>
        <w:rPr>
          <w:b/>
          <w:sz w:val="20"/>
          <w:szCs w:val="20"/>
        </w:rPr>
      </w:pPr>
    </w:p>
    <w:p w:rsidR="00706B48" w:rsidRDefault="00706B48" w:rsidP="004342A2">
      <w:pPr>
        <w:widowControl w:val="0"/>
        <w:autoSpaceDE w:val="0"/>
        <w:autoSpaceDN w:val="0"/>
        <w:adjustRightInd w:val="0"/>
        <w:ind w:firstLine="6237"/>
        <w:outlineLvl w:val="0"/>
        <w:rPr>
          <w:b/>
          <w:sz w:val="20"/>
          <w:szCs w:val="20"/>
        </w:rPr>
      </w:pPr>
    </w:p>
    <w:p w:rsidR="00706B48" w:rsidRDefault="00706B48" w:rsidP="004342A2">
      <w:pPr>
        <w:widowControl w:val="0"/>
        <w:autoSpaceDE w:val="0"/>
        <w:autoSpaceDN w:val="0"/>
        <w:adjustRightInd w:val="0"/>
        <w:ind w:firstLine="6237"/>
        <w:outlineLvl w:val="0"/>
        <w:rPr>
          <w:b/>
          <w:sz w:val="20"/>
          <w:szCs w:val="20"/>
        </w:rPr>
      </w:pPr>
    </w:p>
    <w:p w:rsidR="00706B48" w:rsidRDefault="00706B48" w:rsidP="004342A2">
      <w:pPr>
        <w:widowControl w:val="0"/>
        <w:autoSpaceDE w:val="0"/>
        <w:autoSpaceDN w:val="0"/>
        <w:adjustRightInd w:val="0"/>
        <w:ind w:firstLine="6237"/>
        <w:outlineLvl w:val="0"/>
        <w:rPr>
          <w:b/>
          <w:sz w:val="20"/>
          <w:szCs w:val="20"/>
        </w:rPr>
      </w:pPr>
    </w:p>
    <w:p w:rsidR="00706B48" w:rsidRDefault="00706B48" w:rsidP="004342A2">
      <w:pPr>
        <w:widowControl w:val="0"/>
        <w:autoSpaceDE w:val="0"/>
        <w:autoSpaceDN w:val="0"/>
        <w:adjustRightInd w:val="0"/>
        <w:ind w:firstLine="6237"/>
        <w:outlineLvl w:val="0"/>
        <w:rPr>
          <w:b/>
          <w:sz w:val="20"/>
          <w:szCs w:val="20"/>
        </w:rPr>
      </w:pPr>
    </w:p>
    <w:p w:rsidR="00706B48" w:rsidRDefault="00706B48" w:rsidP="004342A2">
      <w:pPr>
        <w:widowControl w:val="0"/>
        <w:autoSpaceDE w:val="0"/>
        <w:autoSpaceDN w:val="0"/>
        <w:adjustRightInd w:val="0"/>
        <w:ind w:firstLine="6237"/>
        <w:outlineLvl w:val="0"/>
        <w:rPr>
          <w:b/>
          <w:sz w:val="20"/>
          <w:szCs w:val="20"/>
        </w:rPr>
      </w:pPr>
    </w:p>
    <w:p w:rsidR="00706B48" w:rsidRDefault="00706B48" w:rsidP="004342A2">
      <w:pPr>
        <w:widowControl w:val="0"/>
        <w:autoSpaceDE w:val="0"/>
        <w:autoSpaceDN w:val="0"/>
        <w:adjustRightInd w:val="0"/>
        <w:ind w:firstLine="6237"/>
        <w:outlineLvl w:val="0"/>
        <w:rPr>
          <w:b/>
          <w:sz w:val="20"/>
          <w:szCs w:val="20"/>
        </w:rPr>
      </w:pPr>
    </w:p>
    <w:p w:rsidR="00706B48" w:rsidRDefault="00706B48" w:rsidP="004342A2">
      <w:pPr>
        <w:widowControl w:val="0"/>
        <w:autoSpaceDE w:val="0"/>
        <w:autoSpaceDN w:val="0"/>
        <w:adjustRightInd w:val="0"/>
        <w:ind w:firstLine="6237"/>
        <w:outlineLvl w:val="0"/>
        <w:rPr>
          <w:b/>
          <w:sz w:val="20"/>
          <w:szCs w:val="20"/>
        </w:rPr>
      </w:pPr>
    </w:p>
    <w:p w:rsidR="00706B48" w:rsidRDefault="00706B48" w:rsidP="004342A2">
      <w:pPr>
        <w:widowControl w:val="0"/>
        <w:autoSpaceDE w:val="0"/>
        <w:autoSpaceDN w:val="0"/>
        <w:adjustRightInd w:val="0"/>
        <w:ind w:firstLine="6237"/>
        <w:outlineLvl w:val="0"/>
        <w:rPr>
          <w:b/>
          <w:sz w:val="20"/>
          <w:szCs w:val="20"/>
        </w:rPr>
      </w:pPr>
    </w:p>
    <w:p w:rsidR="00706B48" w:rsidRDefault="00706B48" w:rsidP="004342A2">
      <w:pPr>
        <w:widowControl w:val="0"/>
        <w:autoSpaceDE w:val="0"/>
        <w:autoSpaceDN w:val="0"/>
        <w:adjustRightInd w:val="0"/>
        <w:ind w:firstLine="6237"/>
        <w:outlineLvl w:val="0"/>
        <w:rPr>
          <w:b/>
          <w:sz w:val="20"/>
          <w:szCs w:val="20"/>
        </w:rPr>
      </w:pPr>
    </w:p>
    <w:p w:rsidR="00706B48" w:rsidRDefault="00706B48" w:rsidP="004342A2">
      <w:pPr>
        <w:widowControl w:val="0"/>
        <w:autoSpaceDE w:val="0"/>
        <w:autoSpaceDN w:val="0"/>
        <w:adjustRightInd w:val="0"/>
        <w:ind w:firstLine="6237"/>
        <w:outlineLvl w:val="0"/>
        <w:rPr>
          <w:b/>
          <w:sz w:val="20"/>
          <w:szCs w:val="20"/>
        </w:rPr>
      </w:pPr>
    </w:p>
    <w:tbl>
      <w:tblPr>
        <w:tblW w:w="9787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708"/>
        <w:gridCol w:w="3118"/>
        <w:gridCol w:w="3402"/>
        <w:gridCol w:w="1559"/>
      </w:tblGrid>
      <w:tr w:rsidR="004342A2" w:rsidRPr="009328AE" w:rsidTr="00706B48">
        <w:trPr>
          <w:trHeight w:val="1000"/>
          <w:tblCellSpacing w:w="5" w:type="nil"/>
        </w:trPr>
        <w:tc>
          <w:tcPr>
            <w:tcW w:w="1708" w:type="dxa"/>
            <w:vMerge w:val="restart"/>
          </w:tcPr>
          <w:p w:rsidR="004342A2" w:rsidRPr="009328AE" w:rsidRDefault="004342A2" w:rsidP="003E3D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4342A2" w:rsidRPr="009328AE" w:rsidRDefault="004342A2" w:rsidP="003E3D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4342A2" w:rsidRPr="009328AE" w:rsidRDefault="004342A2" w:rsidP="003E3D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342A2" w:rsidRPr="009328AE" w:rsidRDefault="004342A2" w:rsidP="003E3DCD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4342A2" w:rsidRPr="009328AE" w:rsidTr="00706B48">
        <w:trPr>
          <w:trHeight w:val="1000"/>
          <w:tblCellSpacing w:w="5" w:type="nil"/>
        </w:trPr>
        <w:tc>
          <w:tcPr>
            <w:tcW w:w="1708" w:type="dxa"/>
            <w:vMerge/>
          </w:tcPr>
          <w:p w:rsidR="004342A2" w:rsidRPr="009328AE" w:rsidRDefault="004342A2" w:rsidP="003E3D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4342A2" w:rsidRPr="009328AE" w:rsidRDefault="004342A2" w:rsidP="003E3D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4342A2" w:rsidRPr="009328AE" w:rsidRDefault="004342A2" w:rsidP="003E3D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342A2" w:rsidRPr="009328AE" w:rsidRDefault="004342A2" w:rsidP="003E3DCD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4342A2" w:rsidRPr="009328AE" w:rsidTr="00706B48">
        <w:trPr>
          <w:trHeight w:val="800"/>
          <w:tblCellSpacing w:w="5" w:type="nil"/>
        </w:trPr>
        <w:tc>
          <w:tcPr>
            <w:tcW w:w="1708" w:type="dxa"/>
            <w:vMerge/>
          </w:tcPr>
          <w:p w:rsidR="004342A2" w:rsidRPr="009328AE" w:rsidRDefault="004342A2" w:rsidP="003E3D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4342A2" w:rsidRPr="009328AE" w:rsidRDefault="004342A2" w:rsidP="003E3D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4342A2" w:rsidRPr="009328AE" w:rsidRDefault="004342A2" w:rsidP="003E3D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342A2" w:rsidRPr="009328AE" w:rsidRDefault="004342A2" w:rsidP="003E3DCD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</w:tbl>
    <w:p w:rsidR="005A039C" w:rsidRDefault="005A039C"/>
    <w:sectPr w:rsidR="005A039C" w:rsidSect="00CA69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2796C"/>
    <w:multiLevelType w:val="multilevel"/>
    <w:tmpl w:val="BDAE4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>
    <w:nsid w:val="27F7725E"/>
    <w:multiLevelType w:val="multilevel"/>
    <w:tmpl w:val="5F5483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>
    <w:nsid w:val="5D4850DB"/>
    <w:multiLevelType w:val="multilevel"/>
    <w:tmpl w:val="5F5483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>
    <w:nsid w:val="7A7246B8"/>
    <w:multiLevelType w:val="multilevel"/>
    <w:tmpl w:val="5F5483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1DEF"/>
    <w:rsid w:val="00014040"/>
    <w:rsid w:val="000540CD"/>
    <w:rsid w:val="00065DDC"/>
    <w:rsid w:val="000C23BF"/>
    <w:rsid w:val="000C355F"/>
    <w:rsid w:val="000E2F5D"/>
    <w:rsid w:val="00101434"/>
    <w:rsid w:val="001602F0"/>
    <w:rsid w:val="001E1B1D"/>
    <w:rsid w:val="002167A8"/>
    <w:rsid w:val="002272B6"/>
    <w:rsid w:val="00237B15"/>
    <w:rsid w:val="002451BD"/>
    <w:rsid w:val="00255AC0"/>
    <w:rsid w:val="002650E3"/>
    <w:rsid w:val="002909D6"/>
    <w:rsid w:val="002948DF"/>
    <w:rsid w:val="00346F7B"/>
    <w:rsid w:val="00356AF2"/>
    <w:rsid w:val="003577C4"/>
    <w:rsid w:val="003B6B21"/>
    <w:rsid w:val="003D7A17"/>
    <w:rsid w:val="004342A2"/>
    <w:rsid w:val="004573DC"/>
    <w:rsid w:val="00486EBD"/>
    <w:rsid w:val="004A0C96"/>
    <w:rsid w:val="004C6520"/>
    <w:rsid w:val="00503992"/>
    <w:rsid w:val="00520723"/>
    <w:rsid w:val="005477E3"/>
    <w:rsid w:val="00575631"/>
    <w:rsid w:val="005A039C"/>
    <w:rsid w:val="005A7395"/>
    <w:rsid w:val="005C1B1B"/>
    <w:rsid w:val="00692BB9"/>
    <w:rsid w:val="006B602A"/>
    <w:rsid w:val="006C7066"/>
    <w:rsid w:val="006E7A9F"/>
    <w:rsid w:val="00706B48"/>
    <w:rsid w:val="00806937"/>
    <w:rsid w:val="008567D3"/>
    <w:rsid w:val="00865CB7"/>
    <w:rsid w:val="008A129E"/>
    <w:rsid w:val="008F20CF"/>
    <w:rsid w:val="00901E6E"/>
    <w:rsid w:val="00967E3D"/>
    <w:rsid w:val="00984CA4"/>
    <w:rsid w:val="009B31EC"/>
    <w:rsid w:val="009E5657"/>
    <w:rsid w:val="009E6FDF"/>
    <w:rsid w:val="00A2220F"/>
    <w:rsid w:val="00A7564A"/>
    <w:rsid w:val="00AB01C9"/>
    <w:rsid w:val="00AD5F4F"/>
    <w:rsid w:val="00AE739F"/>
    <w:rsid w:val="00B3042C"/>
    <w:rsid w:val="00BB7A54"/>
    <w:rsid w:val="00BC2A2C"/>
    <w:rsid w:val="00C50AD9"/>
    <w:rsid w:val="00C54247"/>
    <w:rsid w:val="00C556AB"/>
    <w:rsid w:val="00CA699E"/>
    <w:rsid w:val="00CB7B94"/>
    <w:rsid w:val="00D369F6"/>
    <w:rsid w:val="00D669D4"/>
    <w:rsid w:val="00D72464"/>
    <w:rsid w:val="00D75704"/>
    <w:rsid w:val="00DC4ED2"/>
    <w:rsid w:val="00DF2B77"/>
    <w:rsid w:val="00E93F6A"/>
    <w:rsid w:val="00EA1A9E"/>
    <w:rsid w:val="00EA6915"/>
    <w:rsid w:val="00EF1DEF"/>
    <w:rsid w:val="00FB5D68"/>
    <w:rsid w:val="00FC0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2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342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4342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342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rsid w:val="004342A2"/>
    <w:pPr>
      <w:spacing w:after="200" w:line="276" w:lineRule="auto"/>
    </w:pPr>
  </w:style>
  <w:style w:type="paragraph" w:styleId="a4">
    <w:name w:val="Balloon Text"/>
    <w:basedOn w:val="a"/>
    <w:link w:val="a5"/>
    <w:uiPriority w:val="99"/>
    <w:semiHidden/>
    <w:unhideWhenUsed/>
    <w:rsid w:val="004342A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42A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67E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2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342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4342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342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rsid w:val="004342A2"/>
    <w:pPr>
      <w:spacing w:after="200" w:line="276" w:lineRule="auto"/>
    </w:pPr>
  </w:style>
  <w:style w:type="paragraph" w:styleId="a4">
    <w:name w:val="Balloon Text"/>
    <w:basedOn w:val="a"/>
    <w:link w:val="a5"/>
    <w:uiPriority w:val="99"/>
    <w:semiHidden/>
    <w:unhideWhenUsed/>
    <w:rsid w:val="004342A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42A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67E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8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Мальченко</dc:creator>
  <cp:lastModifiedBy>Дуденко</cp:lastModifiedBy>
  <cp:revision>9</cp:revision>
  <cp:lastPrinted>2015-05-20T07:38:00Z</cp:lastPrinted>
  <dcterms:created xsi:type="dcterms:W3CDTF">2015-05-05T06:16:00Z</dcterms:created>
  <dcterms:modified xsi:type="dcterms:W3CDTF">2015-05-26T02:41:00Z</dcterms:modified>
</cp:coreProperties>
</file>