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</w:t>
      </w:r>
      <w:r w:rsidR="005F53BD">
        <w:rPr>
          <w:b/>
          <w:noProof/>
          <w:sz w:val="32"/>
        </w:rPr>
        <w:t xml:space="preserve">                               </w:t>
      </w:r>
      <w:r>
        <w:rPr>
          <w:b/>
          <w:noProof/>
          <w:sz w:val="32"/>
        </w:rPr>
        <w:t xml:space="preserve"> </w:t>
      </w:r>
      <w:r w:rsidRPr="009E2896">
        <w:rPr>
          <w:b/>
          <w:noProof/>
          <w:sz w:val="32"/>
        </w:rPr>
        <w:drawing>
          <wp:inline distT="0" distB="0" distL="0" distR="0" wp14:anchorId="679D1FB8" wp14:editId="11D6D06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24" w:rsidRPr="009E2896">
        <w:rPr>
          <w:b/>
          <w:szCs w:val="32"/>
        </w:rPr>
        <w:t xml:space="preserve">                          </w:t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Pr="001F7134" w:rsidRDefault="004342A2" w:rsidP="004342A2">
      <w:pPr>
        <w:rPr>
          <w:b/>
          <w:color w:val="002060"/>
          <w:szCs w:val="32"/>
        </w:rPr>
      </w:pPr>
      <w:r w:rsidRPr="001F7134">
        <w:rPr>
          <w:b/>
          <w:bCs/>
          <w:color w:val="002060"/>
        </w:rPr>
        <w:t xml:space="preserve">                                               </w:t>
      </w:r>
      <w:r w:rsidRPr="001F7134">
        <w:rPr>
          <w:b/>
          <w:color w:val="002060"/>
          <w:szCs w:val="32"/>
        </w:rPr>
        <w:t>РОССИЙСКАЯ ФЕДЕРАЦИЯ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КРАСНОЯРСКИЙ КРАЙ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ТАЙМЫРСКИЙ ДОЛГАНО-НЕНЕЦКИЙ МУНИЦИПАЛЬНЫЙ РАЙОН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>АДМИНИСТРАЦИЯ СЕЛЬСКОГО ПОСЕЛЕНИЯ ХАТАНГА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  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</w:p>
    <w:p w:rsidR="004342A2" w:rsidRPr="001F7134" w:rsidRDefault="004342A2" w:rsidP="00FD2E24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ПОСТАНОВЛЕНИЕ </w:t>
      </w:r>
      <w:r w:rsidR="009E46B8" w:rsidRPr="001F7134">
        <w:rPr>
          <w:b/>
          <w:color w:val="002060"/>
          <w:szCs w:val="32"/>
        </w:rPr>
        <w:t xml:space="preserve">             </w:t>
      </w:r>
    </w:p>
    <w:p w:rsidR="00FD2E24" w:rsidRPr="001F7134" w:rsidRDefault="00FD2E24" w:rsidP="00FD2E24">
      <w:pPr>
        <w:jc w:val="center"/>
        <w:rPr>
          <w:b/>
          <w:color w:val="002060"/>
          <w:szCs w:val="32"/>
        </w:rPr>
      </w:pPr>
    </w:p>
    <w:p w:rsidR="004342A2" w:rsidRPr="001F7134" w:rsidRDefault="00890807" w:rsidP="004342A2">
      <w:pPr>
        <w:rPr>
          <w:color w:val="002060"/>
        </w:rPr>
      </w:pPr>
      <w:r w:rsidRPr="001F7134">
        <w:rPr>
          <w:color w:val="002060"/>
          <w:szCs w:val="32"/>
        </w:rPr>
        <w:t>24</w:t>
      </w:r>
      <w:r w:rsidR="004342A2" w:rsidRPr="001F7134">
        <w:rPr>
          <w:color w:val="002060"/>
          <w:szCs w:val="32"/>
        </w:rPr>
        <w:t>.</w:t>
      </w:r>
      <w:r w:rsidRPr="001F7134">
        <w:rPr>
          <w:color w:val="002060"/>
        </w:rPr>
        <w:t>04</w:t>
      </w:r>
      <w:r w:rsidR="004342A2" w:rsidRPr="001F7134">
        <w:rPr>
          <w:color w:val="002060"/>
        </w:rPr>
        <w:t>.</w:t>
      </w:r>
      <w:r w:rsidRPr="001F7134">
        <w:rPr>
          <w:color w:val="002060"/>
        </w:rPr>
        <w:t>2018</w:t>
      </w:r>
      <w:r w:rsidR="009E2896" w:rsidRPr="001F7134">
        <w:rPr>
          <w:color w:val="002060"/>
        </w:rPr>
        <w:t xml:space="preserve"> г.</w:t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</w:r>
      <w:r w:rsidR="004342A2" w:rsidRPr="001F7134">
        <w:rPr>
          <w:color w:val="002060"/>
        </w:rPr>
        <w:tab/>
        <w:t xml:space="preserve">        № </w:t>
      </w:r>
      <w:r w:rsidR="00B2122D">
        <w:rPr>
          <w:color w:val="002060"/>
        </w:rPr>
        <w:t>050</w:t>
      </w:r>
      <w:bookmarkStart w:id="0" w:name="_GoBack"/>
      <w:bookmarkEnd w:id="0"/>
      <w:r w:rsidR="004342A2" w:rsidRPr="001F7134">
        <w:rPr>
          <w:color w:val="002060"/>
        </w:rPr>
        <w:t xml:space="preserve"> -  П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4342A2" w:rsidRPr="001F7134" w:rsidRDefault="004342A2" w:rsidP="004342A2">
      <w:pPr>
        <w:ind w:right="-1"/>
        <w:jc w:val="both"/>
        <w:rPr>
          <w:b/>
          <w:color w:val="002060"/>
        </w:rPr>
      </w:pPr>
      <w:r w:rsidRPr="001F7134">
        <w:rPr>
          <w:b/>
          <w:color w:val="002060"/>
        </w:rPr>
        <w:t>О</w:t>
      </w:r>
      <w:r w:rsidR="00DE3CE3" w:rsidRPr="001F7134">
        <w:rPr>
          <w:b/>
          <w:color w:val="002060"/>
        </w:rPr>
        <w:t xml:space="preserve"> внесении изменений в Постановление администрации </w:t>
      </w:r>
      <w:r w:rsidR="002E5A24" w:rsidRPr="001F7134">
        <w:rPr>
          <w:b/>
          <w:color w:val="002060"/>
        </w:rPr>
        <w:t>сельского поселения Хатанга от 20.10</w:t>
      </w:r>
      <w:r w:rsidR="00DE3CE3" w:rsidRPr="001F7134">
        <w:rPr>
          <w:b/>
          <w:color w:val="002060"/>
        </w:rPr>
        <w:t>.2014 №</w:t>
      </w:r>
      <w:r w:rsidR="003A0F5A" w:rsidRPr="001F7134">
        <w:rPr>
          <w:b/>
          <w:color w:val="002060"/>
        </w:rPr>
        <w:t xml:space="preserve"> </w:t>
      </w:r>
      <w:r w:rsidR="002E5A24" w:rsidRPr="001F7134">
        <w:rPr>
          <w:b/>
          <w:color w:val="002060"/>
        </w:rPr>
        <w:t>132</w:t>
      </w:r>
      <w:r w:rsidR="00DE3CE3" w:rsidRPr="001F7134">
        <w:rPr>
          <w:b/>
          <w:color w:val="002060"/>
        </w:rPr>
        <w:t xml:space="preserve">-П «Об утверждении </w:t>
      </w:r>
      <w:r w:rsidR="002E5A24" w:rsidRPr="001F7134">
        <w:rPr>
          <w:b/>
          <w:color w:val="002060"/>
        </w:rPr>
        <w:t>П</w:t>
      </w:r>
      <w:r w:rsidR="00DE3CE3" w:rsidRPr="001F7134">
        <w:rPr>
          <w:b/>
          <w:color w:val="002060"/>
        </w:rPr>
        <w:t>оложения об оплате труда работников администрации сельского поселения Хатанга</w:t>
      </w:r>
      <w:r w:rsidR="002E5A24" w:rsidRPr="001F7134">
        <w:rPr>
          <w:b/>
          <w:color w:val="002060"/>
        </w:rPr>
        <w:t>,</w:t>
      </w:r>
      <w:r w:rsidR="00DE3CE3" w:rsidRPr="001F7134">
        <w:rPr>
          <w:b/>
          <w:color w:val="002060"/>
        </w:rPr>
        <w:t xml:space="preserve"> не являющихся лицами,</w:t>
      </w:r>
      <w:r w:rsidR="001419A1" w:rsidRPr="001F7134">
        <w:rPr>
          <w:b/>
          <w:color w:val="002060"/>
        </w:rPr>
        <w:t xml:space="preserve"> </w:t>
      </w:r>
      <w:r w:rsidR="00DE3CE3" w:rsidRPr="001F7134">
        <w:rPr>
          <w:b/>
          <w:color w:val="002060"/>
        </w:rPr>
        <w:t xml:space="preserve">замещающими муниципальные должности и </w:t>
      </w:r>
      <w:r w:rsidR="00295C09" w:rsidRPr="001F7134">
        <w:rPr>
          <w:b/>
          <w:color w:val="002060"/>
        </w:rPr>
        <w:t>должности муниципальной службы»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C86628" w:rsidRPr="001F7134" w:rsidRDefault="004342A2" w:rsidP="00C86628">
      <w:pPr>
        <w:ind w:right="-1"/>
        <w:jc w:val="both"/>
        <w:rPr>
          <w:color w:val="002060"/>
        </w:rPr>
      </w:pPr>
      <w:r w:rsidRPr="001F7134">
        <w:rPr>
          <w:color w:val="002060"/>
        </w:rPr>
        <w:tab/>
        <w:t xml:space="preserve">В соответствии </w:t>
      </w:r>
      <w:r w:rsidR="0095166E" w:rsidRPr="001F7134">
        <w:rPr>
          <w:color w:val="002060"/>
        </w:rPr>
        <w:t>с</w:t>
      </w:r>
      <w:r w:rsidRPr="001F7134">
        <w:rPr>
          <w:color w:val="002060"/>
        </w:rPr>
        <w:t xml:space="preserve"> Решением Хатангского сельского Совета депутатов от </w:t>
      </w:r>
      <w:r w:rsidR="00D72464" w:rsidRPr="001F7134">
        <w:rPr>
          <w:color w:val="002060"/>
        </w:rPr>
        <w:t>26</w:t>
      </w:r>
      <w:r w:rsidRPr="001F7134">
        <w:rPr>
          <w:color w:val="002060"/>
        </w:rPr>
        <w:t>.09.201</w:t>
      </w:r>
      <w:r w:rsidR="00D72464" w:rsidRPr="001F7134">
        <w:rPr>
          <w:color w:val="002060"/>
        </w:rPr>
        <w:t>4</w:t>
      </w:r>
      <w:r w:rsidRPr="001F7134">
        <w:rPr>
          <w:color w:val="002060"/>
        </w:rPr>
        <w:t xml:space="preserve"> г. № 1</w:t>
      </w:r>
      <w:r w:rsidR="00D72464" w:rsidRPr="001F7134">
        <w:rPr>
          <w:color w:val="002060"/>
        </w:rPr>
        <w:t>53</w:t>
      </w:r>
      <w:r w:rsidRPr="001F7134">
        <w:rPr>
          <w:color w:val="002060"/>
        </w:rPr>
        <w:t xml:space="preserve">-РС «Об утверждении Положения о </w:t>
      </w:r>
      <w:r w:rsidR="00D72464" w:rsidRPr="001F7134">
        <w:rPr>
          <w:color w:val="002060"/>
        </w:rPr>
        <w:t>системах</w:t>
      </w:r>
      <w:r w:rsidRPr="001F7134">
        <w:rPr>
          <w:color w:val="002060"/>
        </w:rPr>
        <w:t xml:space="preserve"> оплаты труда работников муниципальных </w:t>
      </w:r>
      <w:r w:rsidR="00D72464" w:rsidRPr="001F7134">
        <w:rPr>
          <w:color w:val="002060"/>
        </w:rPr>
        <w:t xml:space="preserve">учреждений </w:t>
      </w:r>
      <w:r w:rsidRPr="001F7134">
        <w:rPr>
          <w:color w:val="002060"/>
        </w:rPr>
        <w:t>сельского поселения Хатанга», руководствуясь статьей 8  Устава сельского поселения Хатанга,</w:t>
      </w:r>
      <w:r w:rsidR="00C86628" w:rsidRPr="001F7134">
        <w:rPr>
          <w:b/>
          <w:color w:val="002060"/>
        </w:rPr>
        <w:t xml:space="preserve"> </w:t>
      </w:r>
      <w:r w:rsidR="00C86628" w:rsidRPr="001F7134">
        <w:rPr>
          <w:color w:val="002060"/>
        </w:rPr>
        <w:t>на основании Постановления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службы»,</w:t>
      </w:r>
    </w:p>
    <w:p w:rsidR="004342A2" w:rsidRPr="001F7134" w:rsidRDefault="004342A2" w:rsidP="004342A2">
      <w:pPr>
        <w:tabs>
          <w:tab w:val="left" w:pos="709"/>
        </w:tabs>
        <w:jc w:val="both"/>
        <w:rPr>
          <w:color w:val="002060"/>
        </w:rPr>
      </w:pPr>
    </w:p>
    <w:p w:rsidR="004342A2" w:rsidRPr="001F7134" w:rsidRDefault="004342A2" w:rsidP="004342A2">
      <w:pPr>
        <w:ind w:firstLine="540"/>
        <w:jc w:val="center"/>
        <w:rPr>
          <w:b/>
          <w:color w:val="002060"/>
        </w:rPr>
      </w:pPr>
      <w:r w:rsidRPr="001F7134">
        <w:rPr>
          <w:b/>
          <w:color w:val="002060"/>
        </w:rPr>
        <w:t>ПОСТАНОВЛЯЮ:</w:t>
      </w:r>
    </w:p>
    <w:p w:rsidR="004342A2" w:rsidRPr="001F7134" w:rsidRDefault="004342A2" w:rsidP="004342A2">
      <w:pPr>
        <w:ind w:firstLine="540"/>
        <w:jc w:val="center"/>
        <w:rPr>
          <w:b/>
          <w:color w:val="002060"/>
        </w:rPr>
      </w:pPr>
    </w:p>
    <w:p w:rsidR="004342A2" w:rsidRPr="001F7134" w:rsidRDefault="004319D7" w:rsidP="004319D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1F7134">
        <w:rPr>
          <w:color w:val="002060"/>
        </w:rPr>
        <w:t xml:space="preserve">Внести в </w:t>
      </w:r>
      <w:r w:rsidR="002E5A24" w:rsidRPr="001F7134">
        <w:rPr>
          <w:color w:val="002060"/>
        </w:rPr>
        <w:t>П</w:t>
      </w:r>
      <w:r w:rsidRPr="001F7134">
        <w:rPr>
          <w:color w:val="002060"/>
        </w:rPr>
        <w:t>оложение об оплате труда работников администрации сельского поселения Хатанга</w:t>
      </w:r>
      <w:r w:rsidR="002E5A24" w:rsidRPr="001F7134">
        <w:rPr>
          <w:color w:val="002060"/>
        </w:rPr>
        <w:t>,</w:t>
      </w:r>
      <w:r w:rsidRPr="001F7134">
        <w:rPr>
          <w:color w:val="002060"/>
        </w:rPr>
        <w:t xml:space="preserve"> не </w:t>
      </w:r>
      <w:r w:rsidR="00162770" w:rsidRPr="001F7134">
        <w:rPr>
          <w:color w:val="002060"/>
        </w:rPr>
        <w:t>я</w:t>
      </w:r>
      <w:r w:rsidRPr="001F7134">
        <w:rPr>
          <w:color w:val="002060"/>
        </w:rPr>
        <w:t>вляющихся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>лицами,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>замещающими муниципальные должности и должности муниципальной службы,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 xml:space="preserve">утвержденное Постановлением администрации сельского поселения Хатанга от </w:t>
      </w:r>
      <w:r w:rsidR="002E5A24" w:rsidRPr="001F7134">
        <w:rPr>
          <w:color w:val="002060"/>
        </w:rPr>
        <w:t>20.10</w:t>
      </w:r>
      <w:r w:rsidRPr="001F7134">
        <w:rPr>
          <w:color w:val="002060"/>
        </w:rPr>
        <w:t>.2014 №</w:t>
      </w:r>
      <w:r w:rsidR="00BA57D9" w:rsidRPr="001F7134">
        <w:rPr>
          <w:color w:val="002060"/>
        </w:rPr>
        <w:t xml:space="preserve"> </w:t>
      </w:r>
      <w:r w:rsidR="002E5A24" w:rsidRPr="001F7134">
        <w:rPr>
          <w:color w:val="002060"/>
        </w:rPr>
        <w:t>13</w:t>
      </w:r>
      <w:r w:rsidRPr="001F7134">
        <w:rPr>
          <w:color w:val="002060"/>
        </w:rPr>
        <w:t xml:space="preserve">2-П (в редакции от </w:t>
      </w:r>
      <w:r w:rsidR="005D3CE0">
        <w:rPr>
          <w:color w:val="002060"/>
        </w:rPr>
        <w:t>24.04.2018 г.  № 049</w:t>
      </w:r>
      <w:r w:rsidR="00CD10FC" w:rsidRPr="001F7134">
        <w:rPr>
          <w:color w:val="002060"/>
        </w:rPr>
        <w:t>-П</w:t>
      </w:r>
      <w:r w:rsidRPr="001F7134">
        <w:rPr>
          <w:color w:val="002060"/>
        </w:rPr>
        <w:t>)</w:t>
      </w:r>
      <w:r w:rsidR="00C6595F" w:rsidRPr="001F7134">
        <w:rPr>
          <w:color w:val="002060"/>
        </w:rPr>
        <w:t xml:space="preserve"> (далее-По</w:t>
      </w:r>
      <w:r w:rsidR="007461A6" w:rsidRPr="001F7134">
        <w:rPr>
          <w:color w:val="002060"/>
        </w:rPr>
        <w:t>становление</w:t>
      </w:r>
      <w:r w:rsidR="00C6595F" w:rsidRPr="001F7134">
        <w:rPr>
          <w:color w:val="002060"/>
        </w:rPr>
        <w:t>) следующие изменения</w:t>
      </w:r>
      <w:r w:rsidR="00162770" w:rsidRPr="001F7134">
        <w:rPr>
          <w:color w:val="002060"/>
        </w:rPr>
        <w:t>:</w:t>
      </w:r>
    </w:p>
    <w:p w:rsidR="00D248AE" w:rsidRPr="001F7134" w:rsidRDefault="00D248AE" w:rsidP="00D248AE">
      <w:pPr>
        <w:autoSpaceDE w:val="0"/>
        <w:autoSpaceDN w:val="0"/>
        <w:adjustRightInd w:val="0"/>
        <w:ind w:left="720"/>
        <w:jc w:val="both"/>
        <w:outlineLvl w:val="0"/>
        <w:rPr>
          <w:color w:val="002060"/>
        </w:rPr>
      </w:pPr>
    </w:p>
    <w:p w:rsidR="00890807" w:rsidRPr="001F7134" w:rsidRDefault="00890807" w:rsidP="00890807">
      <w:pPr>
        <w:autoSpaceDE w:val="0"/>
        <w:autoSpaceDN w:val="0"/>
        <w:adjustRightInd w:val="0"/>
        <w:ind w:left="720"/>
        <w:jc w:val="both"/>
        <w:outlineLvl w:val="0"/>
        <w:rPr>
          <w:color w:val="002060"/>
        </w:rPr>
      </w:pPr>
      <w:r w:rsidRPr="001F7134">
        <w:rPr>
          <w:color w:val="002060"/>
        </w:rPr>
        <w:t>1.1. Пункт 4.1. Раздела 4 Приложения к Положению дополнить подпунктом 4.1.1. следующего содержания:</w:t>
      </w:r>
    </w:p>
    <w:p w:rsidR="00890807" w:rsidRPr="001F7134" w:rsidRDefault="00890807" w:rsidP="00890807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1F7134">
        <w:rPr>
          <w:color w:val="002060"/>
        </w:rPr>
        <w:t xml:space="preserve"> «4.1.1 «Персональные выплаты устанавливаются с учетом сложности, напряженности и особого режима работы; опыта работы; в целях повышения уровня оплаты труда молодым специалистам; обеспечения заработной платы работника на уровне размера минимальной заработной платы (минимального размера оплаты труда); обеспечения региональной выплаты, установленной под</w:t>
      </w:r>
      <w:hyperlink w:anchor="sub_161" w:history="1">
        <w:r w:rsidRPr="001F7134">
          <w:rPr>
            <w:color w:val="002060"/>
          </w:rPr>
          <w:t>пунктом 4.2.</w:t>
        </w:r>
      </w:hyperlink>
      <w:r w:rsidRPr="001F7134">
        <w:rPr>
          <w:color w:val="002060"/>
        </w:rPr>
        <w:t>5.».</w:t>
      </w:r>
    </w:p>
    <w:p w:rsidR="00890807" w:rsidRPr="001F7134" w:rsidRDefault="00890807" w:rsidP="00890807">
      <w:pPr>
        <w:ind w:firstLine="709"/>
        <w:jc w:val="both"/>
        <w:rPr>
          <w:rFonts w:eastAsiaTheme="minorEastAsia"/>
          <w:color w:val="002060"/>
        </w:rPr>
      </w:pPr>
      <w:r w:rsidRPr="001F7134">
        <w:rPr>
          <w:color w:val="002060"/>
        </w:rPr>
        <w:t xml:space="preserve">1.2. Дополнить пункт 4.2. Раздела 4 Приложения к Положению подпунктом 4.2.5. </w:t>
      </w:r>
      <w:r w:rsidRPr="001F7134">
        <w:rPr>
          <w:rFonts w:eastAsiaTheme="minorEastAsia"/>
          <w:color w:val="002060"/>
        </w:rPr>
        <w:t>в следующей редакции:</w:t>
      </w:r>
    </w:p>
    <w:p w:rsidR="00890807" w:rsidRPr="001F7134" w:rsidRDefault="00890807" w:rsidP="00890807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2060"/>
        </w:rPr>
      </w:pPr>
      <w:bookmarkStart w:id="1" w:name="sub_161"/>
      <w:r w:rsidRPr="001F7134">
        <w:rPr>
          <w:rFonts w:eastAsiaTheme="minorEastAsia"/>
          <w:color w:val="002060"/>
        </w:rPr>
        <w:t>«4.2.5.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подпунктом, предоставляется региональная выплата.</w:t>
      </w:r>
    </w:p>
    <w:bookmarkEnd w:id="1"/>
    <w:p w:rsidR="00890807" w:rsidRPr="001F7134" w:rsidRDefault="00890807" w:rsidP="00890807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>Для целей расчета региональной выплаты применяется размер заработной платы, установленный в Красноярском крае для сельского поселения Хатанга.</w:t>
      </w:r>
    </w:p>
    <w:p w:rsidR="00890807" w:rsidRPr="001F7134" w:rsidRDefault="00890807" w:rsidP="00890807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lastRenderedPageBreak/>
        <w:t>Региональная выплата для работника рассчитывается как разница между размером заработной платы, установленным настоящим подпунктом,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890807" w:rsidRPr="001F7134" w:rsidRDefault="00890807" w:rsidP="00890807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bookmarkStart w:id="2" w:name="sub_162"/>
      <w:r w:rsidRPr="001F7134">
        <w:rPr>
          <w:rFonts w:eastAsiaTheme="minorEastAsia"/>
          <w:color w:val="002060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r w:rsidRPr="001F7134">
        <w:rPr>
          <w:color w:val="002060"/>
        </w:rPr>
        <w:t>настоящим пунктом</w:t>
      </w:r>
      <w:r w:rsidRPr="001F7134">
        <w:rPr>
          <w:rFonts w:eastAsiaTheme="minorEastAsia"/>
          <w:color w:val="002060"/>
        </w:rPr>
        <w:t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bookmarkEnd w:id="2"/>
    <w:p w:rsidR="00890807" w:rsidRPr="001F7134" w:rsidRDefault="00890807" w:rsidP="00890807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>Для целей настоящего подпункта,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для сельского поселения Хатанга (в случае ее осуществления).</w:t>
      </w:r>
    </w:p>
    <w:p w:rsidR="00890807" w:rsidRPr="001F7134" w:rsidRDefault="00890807" w:rsidP="00890807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1F7134">
        <w:rPr>
          <w:rFonts w:eastAsiaTheme="minorEastAsia"/>
          <w:color w:val="002060"/>
        </w:rPr>
        <w:t xml:space="preserve">Региональная выплата включает в себя начисления по </w:t>
      </w:r>
      <w:hyperlink r:id="rId6" w:history="1">
        <w:r w:rsidRPr="001F7134">
          <w:rPr>
            <w:rFonts w:eastAsiaTheme="minorEastAsia"/>
            <w:color w:val="002060"/>
          </w:rPr>
          <w:t>районному коэффициенту</w:t>
        </w:r>
      </w:hyperlink>
      <w:r w:rsidRPr="001F7134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</w:t>
      </w:r>
    </w:p>
    <w:p w:rsidR="00890807" w:rsidRPr="001F7134" w:rsidRDefault="00890807" w:rsidP="00890807">
      <w:pPr>
        <w:pStyle w:val="ConsPlusNormal"/>
        <w:widowControl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1F713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Размеры заработной платы для расчета региональной выплаты включают в себя начисления по </w:t>
      </w:r>
      <w:hyperlink r:id="rId7" w:history="1">
        <w:r w:rsidRPr="001F7134">
          <w:rPr>
            <w:rFonts w:ascii="Times New Roman" w:eastAsiaTheme="minorEastAsia" w:hAnsi="Times New Roman" w:cs="Times New Roman"/>
            <w:color w:val="002060"/>
            <w:sz w:val="24"/>
            <w:szCs w:val="24"/>
          </w:rPr>
          <w:t>районному коэффициенту</w:t>
        </w:r>
      </w:hyperlink>
      <w:r w:rsidRPr="001F7134">
        <w:rPr>
          <w:rFonts w:ascii="Times New Roman" w:eastAsiaTheme="minorEastAsia" w:hAnsi="Times New Roman" w:cs="Times New Roman"/>
          <w:color w:val="002060"/>
          <w:sz w:val="24"/>
          <w:szCs w:val="24"/>
        </w:rPr>
        <w:t>, процентной надбавке к заработной плате за стаж работы в районах Крайнего Севера и приравненных к ним местностях.».</w:t>
      </w:r>
    </w:p>
    <w:p w:rsidR="00723279" w:rsidRPr="001F7134" w:rsidRDefault="00723279" w:rsidP="00723279">
      <w:pPr>
        <w:pStyle w:val="a6"/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E1760" w:rsidRPr="001F7134" w:rsidRDefault="000E1760" w:rsidP="009E2896">
      <w:pPr>
        <w:pStyle w:val="a6"/>
        <w:numPr>
          <w:ilvl w:val="0"/>
          <w:numId w:val="1"/>
        </w:numPr>
        <w:jc w:val="both"/>
        <w:rPr>
          <w:rStyle w:val="a7"/>
          <w:color w:val="002060"/>
        </w:rPr>
      </w:pPr>
      <w:r w:rsidRPr="001F7134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1F7134">
        <w:rPr>
          <w:color w:val="002060"/>
        </w:rPr>
        <w:t>Хатангского</w:t>
      </w:r>
      <w:proofErr w:type="spellEnd"/>
      <w:r w:rsidRPr="001F7134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1F7134">
          <w:rPr>
            <w:rStyle w:val="a7"/>
            <w:color w:val="002060"/>
            <w:lang w:val="en-US"/>
          </w:rPr>
          <w:t>www</w:t>
        </w:r>
        <w:r w:rsidRPr="001F7134">
          <w:rPr>
            <w:rStyle w:val="a7"/>
            <w:color w:val="002060"/>
          </w:rPr>
          <w:t>.</w:t>
        </w:r>
        <w:proofErr w:type="spellStart"/>
        <w:r w:rsidRPr="001F7134">
          <w:rPr>
            <w:rStyle w:val="a7"/>
            <w:color w:val="002060"/>
            <w:lang w:val="en-US"/>
          </w:rPr>
          <w:t>hatanga</w:t>
        </w:r>
        <w:proofErr w:type="spellEnd"/>
        <w:r w:rsidRPr="001F7134">
          <w:rPr>
            <w:rStyle w:val="a7"/>
            <w:color w:val="002060"/>
          </w:rPr>
          <w:t>24.</w:t>
        </w:r>
        <w:proofErr w:type="spellStart"/>
        <w:r w:rsidRPr="001F7134">
          <w:rPr>
            <w:rStyle w:val="a7"/>
            <w:color w:val="002060"/>
            <w:lang w:val="en-US"/>
          </w:rPr>
          <w:t>ru</w:t>
        </w:r>
        <w:proofErr w:type="spellEnd"/>
      </w:hyperlink>
      <w:r w:rsidR="0091390D" w:rsidRPr="001F7134">
        <w:rPr>
          <w:rStyle w:val="a7"/>
          <w:color w:val="002060"/>
        </w:rPr>
        <w:t>.</w:t>
      </w:r>
    </w:p>
    <w:p w:rsidR="0091390D" w:rsidRPr="001F7134" w:rsidRDefault="0091390D" w:rsidP="0091390D">
      <w:pPr>
        <w:pStyle w:val="a6"/>
        <w:jc w:val="both"/>
        <w:rPr>
          <w:rStyle w:val="a7"/>
          <w:color w:val="002060"/>
        </w:rPr>
      </w:pPr>
    </w:p>
    <w:p w:rsidR="0091390D" w:rsidRPr="001F7134" w:rsidRDefault="0091390D" w:rsidP="0091390D">
      <w:pPr>
        <w:pStyle w:val="a6"/>
        <w:numPr>
          <w:ilvl w:val="0"/>
          <w:numId w:val="1"/>
        </w:numPr>
        <w:jc w:val="both"/>
        <w:rPr>
          <w:color w:val="002060"/>
        </w:rPr>
      </w:pPr>
      <w:r w:rsidRPr="001F7134">
        <w:rPr>
          <w:color w:val="002060"/>
        </w:rPr>
        <w:t>Постановление вступает в силу со дня его официального опубликования и применяется к правоот</w:t>
      </w:r>
      <w:r w:rsidR="00437629" w:rsidRPr="001F7134">
        <w:rPr>
          <w:color w:val="002060"/>
        </w:rPr>
        <w:t>ношениям, возникшим с 01.01.2018</w:t>
      </w:r>
      <w:r w:rsidRPr="001F7134">
        <w:rPr>
          <w:color w:val="002060"/>
        </w:rPr>
        <w:t xml:space="preserve"> года.</w:t>
      </w:r>
    </w:p>
    <w:p w:rsidR="0091390D" w:rsidRPr="001F7134" w:rsidRDefault="0091390D" w:rsidP="0091390D">
      <w:pPr>
        <w:pStyle w:val="a6"/>
        <w:jc w:val="both"/>
        <w:rPr>
          <w:color w:val="002060"/>
          <w:u w:val="single"/>
        </w:rPr>
      </w:pPr>
    </w:p>
    <w:p w:rsidR="00BE2D00" w:rsidRPr="001F7134" w:rsidRDefault="0096274E" w:rsidP="009E2896">
      <w:pPr>
        <w:pStyle w:val="a6"/>
        <w:numPr>
          <w:ilvl w:val="0"/>
          <w:numId w:val="1"/>
        </w:numPr>
        <w:jc w:val="both"/>
        <w:rPr>
          <w:color w:val="002060"/>
        </w:rPr>
      </w:pPr>
      <w:r w:rsidRPr="001F7134">
        <w:rPr>
          <w:color w:val="002060"/>
        </w:rPr>
        <w:t>Контроль за исполнением настоящего Постановления оставляю за собой.</w:t>
      </w:r>
      <w:r w:rsidR="00BE2D00" w:rsidRPr="001F7134">
        <w:rPr>
          <w:color w:val="002060"/>
        </w:rPr>
        <w:t xml:space="preserve"> </w:t>
      </w:r>
    </w:p>
    <w:p w:rsidR="00DB785C" w:rsidRPr="001F7134" w:rsidRDefault="00DB785C" w:rsidP="000E1760">
      <w:pPr>
        <w:jc w:val="both"/>
        <w:rPr>
          <w:color w:val="002060"/>
        </w:rPr>
      </w:pPr>
    </w:p>
    <w:p w:rsidR="007C3352" w:rsidRPr="001F7134" w:rsidRDefault="007C3352" w:rsidP="000E1760">
      <w:pPr>
        <w:jc w:val="both"/>
        <w:rPr>
          <w:color w:val="002060"/>
        </w:rPr>
      </w:pPr>
    </w:p>
    <w:p w:rsidR="00DB785C" w:rsidRPr="001F7134" w:rsidRDefault="00DB785C" w:rsidP="000E1760">
      <w:pPr>
        <w:jc w:val="both"/>
        <w:rPr>
          <w:color w:val="002060"/>
        </w:rPr>
      </w:pPr>
      <w:r w:rsidRPr="001F7134">
        <w:rPr>
          <w:color w:val="002060"/>
        </w:rPr>
        <w:t xml:space="preserve"> </w:t>
      </w:r>
    </w:p>
    <w:p w:rsidR="00713822" w:rsidRPr="001F7134" w:rsidRDefault="00713822" w:rsidP="000E1760">
      <w:pPr>
        <w:jc w:val="both"/>
        <w:rPr>
          <w:color w:val="002060"/>
        </w:rPr>
      </w:pPr>
    </w:p>
    <w:p w:rsidR="0091390D" w:rsidRPr="001F7134" w:rsidRDefault="00940584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1F7134">
        <w:rPr>
          <w:color w:val="002060"/>
        </w:rPr>
        <w:t>Глава</w:t>
      </w:r>
    </w:p>
    <w:p w:rsidR="004342A2" w:rsidRPr="001F7134" w:rsidRDefault="00DB785C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1F7134">
        <w:rPr>
          <w:color w:val="002060"/>
        </w:rPr>
        <w:t xml:space="preserve">сельского поселения Хатанга                                               </w:t>
      </w:r>
      <w:r w:rsidR="009E2896" w:rsidRPr="001F7134">
        <w:rPr>
          <w:color w:val="002060"/>
        </w:rPr>
        <w:t xml:space="preserve">                          </w:t>
      </w:r>
      <w:r w:rsidR="0091390D" w:rsidRPr="001F7134">
        <w:rPr>
          <w:color w:val="002060"/>
        </w:rPr>
        <w:t xml:space="preserve">       </w:t>
      </w:r>
      <w:r w:rsidRPr="001F7134">
        <w:rPr>
          <w:color w:val="002060"/>
        </w:rPr>
        <w:t xml:space="preserve"> </w:t>
      </w:r>
      <w:r w:rsidR="00610A3F" w:rsidRPr="001F7134">
        <w:rPr>
          <w:color w:val="002060"/>
        </w:rPr>
        <w:t xml:space="preserve"> </w:t>
      </w:r>
      <w:r w:rsidR="00940584" w:rsidRPr="001F7134">
        <w:rPr>
          <w:color w:val="002060"/>
        </w:rPr>
        <w:t>А.</w:t>
      </w:r>
      <w:r w:rsidR="00437629" w:rsidRPr="001F7134">
        <w:rPr>
          <w:color w:val="002060"/>
        </w:rPr>
        <w:t xml:space="preserve"> </w:t>
      </w:r>
      <w:r w:rsidR="00940584" w:rsidRPr="001F7134">
        <w:rPr>
          <w:color w:val="002060"/>
        </w:rPr>
        <w:t>В. Кулешов</w:t>
      </w: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6274E" w:rsidRPr="001F7134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96274E" w:rsidRPr="001F7134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Pr="001F7134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Pr="001F7134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Pr="005F53BD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6274E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67233E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67233E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sectPr w:rsidR="003B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F7725E"/>
    <w:multiLevelType w:val="hybridMultilevel"/>
    <w:tmpl w:val="7D9A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0338D0"/>
    <w:rsid w:val="00054261"/>
    <w:rsid w:val="00094A14"/>
    <w:rsid w:val="000B49AF"/>
    <w:rsid w:val="000C23BF"/>
    <w:rsid w:val="000E1760"/>
    <w:rsid w:val="000E2F5D"/>
    <w:rsid w:val="00101434"/>
    <w:rsid w:val="001419A1"/>
    <w:rsid w:val="00150C27"/>
    <w:rsid w:val="0015350E"/>
    <w:rsid w:val="001544E5"/>
    <w:rsid w:val="00162770"/>
    <w:rsid w:val="001B7502"/>
    <w:rsid w:val="001E4D9F"/>
    <w:rsid w:val="001F7134"/>
    <w:rsid w:val="002272B6"/>
    <w:rsid w:val="00237B15"/>
    <w:rsid w:val="002451BD"/>
    <w:rsid w:val="00245D86"/>
    <w:rsid w:val="00255AC0"/>
    <w:rsid w:val="00257450"/>
    <w:rsid w:val="002650E3"/>
    <w:rsid w:val="002941C6"/>
    <w:rsid w:val="002948DF"/>
    <w:rsid w:val="00295C09"/>
    <w:rsid w:val="002E5A24"/>
    <w:rsid w:val="002F5600"/>
    <w:rsid w:val="003A0F5A"/>
    <w:rsid w:val="003B7F14"/>
    <w:rsid w:val="00405731"/>
    <w:rsid w:val="00414AE7"/>
    <w:rsid w:val="004319D7"/>
    <w:rsid w:val="004342A2"/>
    <w:rsid w:val="00437629"/>
    <w:rsid w:val="00460B8E"/>
    <w:rsid w:val="004943F6"/>
    <w:rsid w:val="00520723"/>
    <w:rsid w:val="00532058"/>
    <w:rsid w:val="005477E3"/>
    <w:rsid w:val="00555254"/>
    <w:rsid w:val="00575631"/>
    <w:rsid w:val="00592E44"/>
    <w:rsid w:val="005A039C"/>
    <w:rsid w:val="005A7395"/>
    <w:rsid w:val="005C1B1B"/>
    <w:rsid w:val="005D3CE0"/>
    <w:rsid w:val="005F53BD"/>
    <w:rsid w:val="006062FB"/>
    <w:rsid w:val="00610A3F"/>
    <w:rsid w:val="00613ECC"/>
    <w:rsid w:val="006625C4"/>
    <w:rsid w:val="0067233E"/>
    <w:rsid w:val="006C1D76"/>
    <w:rsid w:val="006C7066"/>
    <w:rsid w:val="006E7A9F"/>
    <w:rsid w:val="00713822"/>
    <w:rsid w:val="00723279"/>
    <w:rsid w:val="007461A6"/>
    <w:rsid w:val="007C3352"/>
    <w:rsid w:val="007D68E1"/>
    <w:rsid w:val="008253F6"/>
    <w:rsid w:val="0082758F"/>
    <w:rsid w:val="00854692"/>
    <w:rsid w:val="00855466"/>
    <w:rsid w:val="0086204D"/>
    <w:rsid w:val="00877784"/>
    <w:rsid w:val="00890807"/>
    <w:rsid w:val="008F20CF"/>
    <w:rsid w:val="0091390D"/>
    <w:rsid w:val="00940584"/>
    <w:rsid w:val="009453B8"/>
    <w:rsid w:val="0095166E"/>
    <w:rsid w:val="0096274E"/>
    <w:rsid w:val="00967E3D"/>
    <w:rsid w:val="009B31EC"/>
    <w:rsid w:val="009C09B7"/>
    <w:rsid w:val="009E2896"/>
    <w:rsid w:val="009E46B8"/>
    <w:rsid w:val="009E5657"/>
    <w:rsid w:val="009E6FDF"/>
    <w:rsid w:val="00A425D3"/>
    <w:rsid w:val="00A72A81"/>
    <w:rsid w:val="00A7564A"/>
    <w:rsid w:val="00AB01C9"/>
    <w:rsid w:val="00AE5834"/>
    <w:rsid w:val="00AE739F"/>
    <w:rsid w:val="00B17A9B"/>
    <w:rsid w:val="00B2122D"/>
    <w:rsid w:val="00B65696"/>
    <w:rsid w:val="00BA57D9"/>
    <w:rsid w:val="00BB7A54"/>
    <w:rsid w:val="00BE2D00"/>
    <w:rsid w:val="00C14A05"/>
    <w:rsid w:val="00C54247"/>
    <w:rsid w:val="00C6595F"/>
    <w:rsid w:val="00C7357D"/>
    <w:rsid w:val="00C8429A"/>
    <w:rsid w:val="00C86628"/>
    <w:rsid w:val="00CD10FC"/>
    <w:rsid w:val="00CE5450"/>
    <w:rsid w:val="00CF2815"/>
    <w:rsid w:val="00CF43EE"/>
    <w:rsid w:val="00D1299E"/>
    <w:rsid w:val="00D23337"/>
    <w:rsid w:val="00D248AE"/>
    <w:rsid w:val="00D36B16"/>
    <w:rsid w:val="00D72464"/>
    <w:rsid w:val="00DB785C"/>
    <w:rsid w:val="00DC4ED2"/>
    <w:rsid w:val="00DE3CE3"/>
    <w:rsid w:val="00E877CA"/>
    <w:rsid w:val="00E93F6A"/>
    <w:rsid w:val="00EA1A9E"/>
    <w:rsid w:val="00EA6915"/>
    <w:rsid w:val="00EF1DEF"/>
    <w:rsid w:val="00EF4B96"/>
    <w:rsid w:val="00F54694"/>
    <w:rsid w:val="00F61C1C"/>
    <w:rsid w:val="00F71013"/>
    <w:rsid w:val="00FC0D4D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A3B9"/>
  <w15:docId w15:val="{B746FAA7-2159-4097-A165-2CAED4E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25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88</cp:revision>
  <cp:lastPrinted>2018-04-25T05:30:00Z</cp:lastPrinted>
  <dcterms:created xsi:type="dcterms:W3CDTF">2016-09-28T05:36:00Z</dcterms:created>
  <dcterms:modified xsi:type="dcterms:W3CDTF">2018-04-26T05:36:00Z</dcterms:modified>
</cp:coreProperties>
</file>