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2418AE" w:rsidRDefault="00F23464" w:rsidP="00F23464">
      <w:pPr>
        <w:widowControl w:val="0"/>
        <w:jc w:val="center"/>
        <w:rPr>
          <w:color w:val="002060"/>
        </w:rPr>
      </w:pPr>
      <w:r w:rsidRPr="002418AE">
        <w:rPr>
          <w:noProof/>
          <w:color w:val="002060"/>
        </w:rPr>
        <w:drawing>
          <wp:inline distT="0" distB="0" distL="0" distR="0" wp14:anchorId="7D8AAB22" wp14:editId="4BD42BFF">
            <wp:extent cx="473075" cy="5805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6" cy="58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Pr="002418AE" w:rsidRDefault="00F23464" w:rsidP="00F23464">
      <w:pPr>
        <w:widowControl w:val="0"/>
        <w:jc w:val="center"/>
        <w:rPr>
          <w:color w:val="002060"/>
        </w:rPr>
      </w:pPr>
    </w:p>
    <w:p w:rsidR="00F23464" w:rsidRPr="002418AE" w:rsidRDefault="00F23464" w:rsidP="00F23464">
      <w:pPr>
        <w:widowControl w:val="0"/>
        <w:jc w:val="center"/>
        <w:rPr>
          <w:b/>
          <w:color w:val="002060"/>
        </w:rPr>
      </w:pPr>
      <w:proofErr w:type="gramStart"/>
      <w:r w:rsidRPr="002418AE">
        <w:rPr>
          <w:b/>
          <w:color w:val="002060"/>
        </w:rPr>
        <w:t>РОССИЙСКАЯ  ФЕДЕРАЦИЯ</w:t>
      </w:r>
      <w:proofErr w:type="gramEnd"/>
    </w:p>
    <w:p w:rsidR="00F23464" w:rsidRPr="002418AE" w:rsidRDefault="00F23464" w:rsidP="00F23464">
      <w:pPr>
        <w:widowControl w:val="0"/>
        <w:jc w:val="center"/>
        <w:rPr>
          <w:color w:val="002060"/>
        </w:rPr>
      </w:pPr>
      <w:r w:rsidRPr="002418AE">
        <w:rPr>
          <w:color w:val="002060"/>
        </w:rPr>
        <w:t>КРАСНОЯРСКИЙ КРАЙ</w:t>
      </w:r>
    </w:p>
    <w:p w:rsidR="00F23464" w:rsidRPr="002418AE" w:rsidRDefault="00F23464" w:rsidP="00F23464">
      <w:pPr>
        <w:jc w:val="center"/>
        <w:rPr>
          <w:color w:val="002060"/>
        </w:rPr>
      </w:pPr>
      <w:r w:rsidRPr="002418AE">
        <w:rPr>
          <w:color w:val="002060"/>
        </w:rPr>
        <w:t>ТАЙМЫРСКИЙ ДОЛГАНО-НЕНЕЦ</w:t>
      </w:r>
      <w:bookmarkStart w:id="0" w:name="_GoBack"/>
      <w:bookmarkEnd w:id="0"/>
      <w:r w:rsidRPr="002418AE">
        <w:rPr>
          <w:color w:val="002060"/>
        </w:rPr>
        <w:t>КИЙ МУНИЦИПАЛЬНЫЙ РАЙОН</w:t>
      </w:r>
    </w:p>
    <w:p w:rsidR="00F23464" w:rsidRPr="002418AE" w:rsidRDefault="00F23464" w:rsidP="00F23464">
      <w:pPr>
        <w:jc w:val="center"/>
        <w:rPr>
          <w:b/>
          <w:color w:val="002060"/>
        </w:rPr>
      </w:pPr>
      <w:r w:rsidRPr="002418AE">
        <w:rPr>
          <w:b/>
          <w:color w:val="002060"/>
        </w:rPr>
        <w:t xml:space="preserve">АДМИНИСТРАЦИЯ СЕЛЬСКОГО ПОСЕЛЕНИЯ ХАТАНГА </w:t>
      </w:r>
    </w:p>
    <w:p w:rsidR="00F23464" w:rsidRPr="002418AE" w:rsidRDefault="00F23464" w:rsidP="00F23464">
      <w:pPr>
        <w:jc w:val="center"/>
        <w:rPr>
          <w:b/>
          <w:color w:val="002060"/>
        </w:rPr>
      </w:pPr>
    </w:p>
    <w:p w:rsidR="00F23464" w:rsidRPr="002418AE" w:rsidRDefault="00F23464" w:rsidP="00F23464">
      <w:pPr>
        <w:rPr>
          <w:b/>
          <w:color w:val="002060"/>
        </w:rPr>
      </w:pPr>
    </w:p>
    <w:p w:rsidR="00F23464" w:rsidRPr="002418AE" w:rsidRDefault="00F23464" w:rsidP="00F23464">
      <w:pPr>
        <w:jc w:val="center"/>
        <w:rPr>
          <w:b/>
          <w:color w:val="002060"/>
        </w:rPr>
      </w:pPr>
      <w:r w:rsidRPr="002418AE">
        <w:rPr>
          <w:b/>
          <w:color w:val="002060"/>
        </w:rPr>
        <w:t>ПОСТАНОВЛЕНИЕ</w:t>
      </w:r>
    </w:p>
    <w:p w:rsidR="00F23464" w:rsidRPr="002418AE" w:rsidRDefault="00F23464" w:rsidP="00F23464">
      <w:pPr>
        <w:rPr>
          <w:b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6"/>
        <w:gridCol w:w="4919"/>
      </w:tblGrid>
      <w:tr w:rsidR="002418AE" w:rsidRPr="002418AE" w:rsidTr="008013B4">
        <w:tc>
          <w:tcPr>
            <w:tcW w:w="4785" w:type="dxa"/>
            <w:hideMark/>
          </w:tcPr>
          <w:p w:rsidR="00F23464" w:rsidRPr="002418AE" w:rsidRDefault="002418AE" w:rsidP="002418AE">
            <w:pPr>
              <w:suppressAutoHyphens/>
              <w:rPr>
                <w:color w:val="002060"/>
              </w:rPr>
            </w:pPr>
            <w:r>
              <w:rPr>
                <w:color w:val="002060"/>
              </w:rPr>
              <w:t>08</w:t>
            </w:r>
            <w:r w:rsidR="00C552C9" w:rsidRPr="002418AE">
              <w:rPr>
                <w:color w:val="002060"/>
              </w:rPr>
              <w:t>.0</w:t>
            </w:r>
            <w:r>
              <w:rPr>
                <w:color w:val="002060"/>
              </w:rPr>
              <w:t>8</w:t>
            </w:r>
            <w:r w:rsidR="00C552C9" w:rsidRPr="002418AE">
              <w:rPr>
                <w:color w:val="002060"/>
              </w:rPr>
              <w:t>.2019</w:t>
            </w:r>
            <w:r w:rsidR="00F23464" w:rsidRPr="002418AE">
              <w:rPr>
                <w:color w:val="002060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F23464" w:rsidRPr="002418AE" w:rsidRDefault="00F23464" w:rsidP="00C552C9">
            <w:pPr>
              <w:suppressAutoHyphens/>
              <w:jc w:val="right"/>
              <w:rPr>
                <w:color w:val="002060"/>
              </w:rPr>
            </w:pPr>
            <w:r w:rsidRPr="002418AE">
              <w:rPr>
                <w:color w:val="002060"/>
              </w:rPr>
              <w:t xml:space="preserve">№ </w:t>
            </w:r>
            <w:r w:rsidR="002418AE">
              <w:rPr>
                <w:color w:val="002060"/>
              </w:rPr>
              <w:t xml:space="preserve">125 </w:t>
            </w:r>
            <w:r w:rsidRPr="002418AE">
              <w:rPr>
                <w:color w:val="002060"/>
              </w:rPr>
              <w:t>- П</w:t>
            </w:r>
          </w:p>
        </w:tc>
      </w:tr>
    </w:tbl>
    <w:p w:rsidR="00F23464" w:rsidRPr="002418AE" w:rsidRDefault="00F23464" w:rsidP="00F23464">
      <w:pPr>
        <w:ind w:right="3934"/>
        <w:jc w:val="both"/>
        <w:rPr>
          <w:b/>
          <w:color w:val="002060"/>
        </w:rPr>
      </w:pPr>
    </w:p>
    <w:p w:rsidR="00F23464" w:rsidRPr="002418AE" w:rsidRDefault="00F23464" w:rsidP="00F23464">
      <w:pPr>
        <w:jc w:val="both"/>
        <w:rPr>
          <w:b/>
          <w:color w:val="002060"/>
        </w:rPr>
      </w:pPr>
      <w:r w:rsidRPr="002418AE">
        <w:rPr>
          <w:b/>
          <w:color w:val="002060"/>
        </w:rPr>
        <w:t>О внесении изменений и дополнений в Постановление администрации сельского поселения Хатанга от 17.01.2011 г. №</w:t>
      </w:r>
      <w:r w:rsidR="00623515" w:rsidRPr="002418AE">
        <w:rPr>
          <w:b/>
          <w:color w:val="002060"/>
        </w:rPr>
        <w:t xml:space="preserve"> </w:t>
      </w:r>
      <w:r w:rsidRPr="002418AE">
        <w:rPr>
          <w:b/>
          <w:color w:val="002060"/>
        </w:rPr>
        <w:t>004-П «Об утверждении административного</w:t>
      </w:r>
      <w:r w:rsidR="00623515" w:rsidRPr="002418AE">
        <w:rPr>
          <w:b/>
          <w:color w:val="002060"/>
        </w:rPr>
        <w:t xml:space="preserve"> регламента</w:t>
      </w:r>
      <w:r w:rsidRPr="002418AE">
        <w:rPr>
          <w:b/>
          <w:color w:val="002060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строительства» администрацией сельского поселения Хатанга</w:t>
      </w:r>
    </w:p>
    <w:p w:rsidR="00F23464" w:rsidRPr="002418AE" w:rsidRDefault="00F23464" w:rsidP="00F23464">
      <w:pPr>
        <w:ind w:right="3934"/>
        <w:jc w:val="both"/>
        <w:rPr>
          <w:b/>
          <w:bCs/>
          <w:color w:val="002060"/>
        </w:rPr>
      </w:pPr>
    </w:p>
    <w:p w:rsidR="00F23464" w:rsidRPr="002418AE" w:rsidRDefault="00F23464" w:rsidP="002418A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 </w:t>
      </w:r>
      <w:r w:rsidR="00623515" w:rsidRPr="002418AE">
        <w:rPr>
          <w:rFonts w:ascii="Times New Roman" w:hAnsi="Times New Roman" w:cs="Times New Roman"/>
          <w:color w:val="002060"/>
          <w:sz w:val="24"/>
          <w:szCs w:val="24"/>
        </w:rPr>
        <w:t>Федеральным законом</w:t>
      </w:r>
      <w:r w:rsidR="001D6917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 Российс</w:t>
      </w:r>
      <w:r w:rsidR="002418AE">
        <w:rPr>
          <w:rFonts w:ascii="Times New Roman" w:hAnsi="Times New Roman" w:cs="Times New Roman"/>
          <w:color w:val="002060"/>
          <w:sz w:val="24"/>
          <w:szCs w:val="24"/>
        </w:rPr>
        <w:t xml:space="preserve">кой Федерации от 03.08.2018 г.        </w:t>
      </w:r>
      <w:r w:rsidR="001D6917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 №</w:t>
      </w:r>
      <w:r w:rsidR="00623515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D6917" w:rsidRPr="002418AE">
        <w:rPr>
          <w:rFonts w:ascii="Times New Roman" w:hAnsi="Times New Roman" w:cs="Times New Roman"/>
          <w:color w:val="002060"/>
          <w:sz w:val="24"/>
          <w:szCs w:val="24"/>
        </w:rPr>
        <w:t>340-ФЗ «О внесении изменений в Градостроительный кодекс Российской Федерации и отдельные законодател</w:t>
      </w:r>
      <w:r w:rsidR="00623515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ьные акты Российской Федерации», </w:t>
      </w:r>
      <w:r w:rsidR="001D6917" w:rsidRPr="002418AE">
        <w:rPr>
          <w:rFonts w:ascii="Times New Roman" w:hAnsi="Times New Roman" w:cs="Times New Roman"/>
          <w:color w:val="002060"/>
          <w:sz w:val="24"/>
          <w:szCs w:val="24"/>
        </w:rPr>
        <w:t>Федеральным законом</w:t>
      </w:r>
      <w:r w:rsidR="00C552C9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 Российской Федерации</w:t>
      </w:r>
      <w:r w:rsidR="001D6917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 от </w:t>
      </w:r>
      <w:r w:rsidR="00C552C9" w:rsidRPr="002418AE">
        <w:rPr>
          <w:rFonts w:ascii="Times New Roman" w:hAnsi="Times New Roman" w:cs="Times New Roman"/>
          <w:color w:val="002060"/>
          <w:sz w:val="24"/>
          <w:szCs w:val="24"/>
        </w:rPr>
        <w:t>27.06.2019 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="001D6917" w:rsidRPr="002418A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F23464" w:rsidRPr="002418AE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23464" w:rsidRPr="002418AE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18AE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F23464" w:rsidRPr="002418AE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EA15DF" w:rsidRPr="002418AE" w:rsidRDefault="00EA15DF" w:rsidP="002418AE">
      <w:pPr>
        <w:pStyle w:val="a6"/>
        <w:numPr>
          <w:ilvl w:val="0"/>
          <w:numId w:val="4"/>
        </w:numPr>
        <w:jc w:val="both"/>
        <w:rPr>
          <w:color w:val="002060"/>
        </w:rPr>
      </w:pPr>
      <w:r w:rsidRPr="002418AE">
        <w:rPr>
          <w:color w:val="002060"/>
        </w:rPr>
        <w:t>Внести в Постановлени</w:t>
      </w:r>
      <w:r w:rsidR="00623515" w:rsidRPr="002418AE">
        <w:rPr>
          <w:color w:val="002060"/>
        </w:rPr>
        <w:t>е</w:t>
      </w:r>
      <w:r w:rsidRPr="002418AE">
        <w:rPr>
          <w:color w:val="002060"/>
        </w:rPr>
        <w:t xml:space="preserve"> администрации сельского поселения Хатанга от </w:t>
      </w:r>
      <w:r w:rsidR="002418AE">
        <w:rPr>
          <w:color w:val="002060"/>
        </w:rPr>
        <w:t xml:space="preserve">   </w:t>
      </w:r>
      <w:r w:rsidRPr="002418AE">
        <w:rPr>
          <w:color w:val="002060"/>
        </w:rPr>
        <w:t>17.01.2011 г. №</w:t>
      </w:r>
      <w:r w:rsidR="00623515" w:rsidRPr="002418AE">
        <w:rPr>
          <w:color w:val="002060"/>
        </w:rPr>
        <w:t xml:space="preserve"> </w:t>
      </w:r>
      <w:r w:rsidRPr="002418AE">
        <w:rPr>
          <w:color w:val="002060"/>
        </w:rPr>
        <w:t>004-П «Об утверждении административного</w:t>
      </w:r>
      <w:r w:rsidR="00623515" w:rsidRPr="002418AE">
        <w:rPr>
          <w:color w:val="002060"/>
        </w:rPr>
        <w:t xml:space="preserve"> регламента</w:t>
      </w:r>
      <w:r w:rsidRPr="002418AE">
        <w:rPr>
          <w:color w:val="002060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строительства» администрацией сельского поселения Хатанга, (далее - Постановление) следующие изменения:</w:t>
      </w:r>
    </w:p>
    <w:p w:rsidR="00EA15DF" w:rsidRPr="002418AE" w:rsidRDefault="00EA15DF" w:rsidP="00214648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A15DF" w:rsidRPr="002418AE" w:rsidRDefault="00481FE9" w:rsidP="002418AE">
      <w:pPr>
        <w:pStyle w:val="ConsPlusNormal"/>
        <w:widowControl/>
        <w:numPr>
          <w:ilvl w:val="1"/>
          <w:numId w:val="2"/>
        </w:numPr>
        <w:ind w:left="709" w:firstLine="1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18AE">
        <w:rPr>
          <w:rFonts w:ascii="Times New Roman" w:eastAsia="Calibri" w:hAnsi="Times New Roman" w:cs="Times New Roman"/>
          <w:color w:val="002060"/>
          <w:sz w:val="24"/>
          <w:szCs w:val="24"/>
        </w:rPr>
        <w:t>П</w:t>
      </w:r>
      <w:r w:rsidR="009D58D0" w:rsidRPr="002418AE">
        <w:rPr>
          <w:rFonts w:ascii="Times New Roman" w:eastAsia="Calibri" w:hAnsi="Times New Roman" w:cs="Times New Roman"/>
          <w:color w:val="002060"/>
          <w:sz w:val="24"/>
          <w:szCs w:val="24"/>
        </w:rPr>
        <w:t>ункт</w:t>
      </w:r>
      <w:r w:rsidR="0050607F" w:rsidRPr="002418A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2.7.1. подраздела 2.7. раздела 2 «</w:t>
      </w:r>
      <w:r w:rsidR="0050607F" w:rsidRPr="002418AE">
        <w:rPr>
          <w:rFonts w:ascii="Times New Roman" w:hAnsi="Times New Roman" w:cs="Times New Roman"/>
          <w:color w:val="002060"/>
          <w:sz w:val="24"/>
          <w:szCs w:val="24"/>
        </w:rPr>
        <w:t>Стандарт предоставления муниципальной услуги</w:t>
      </w:r>
      <w:r w:rsidR="009D58D0"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E04871" w:rsidRPr="002418AE">
        <w:rPr>
          <w:rFonts w:ascii="Times New Roman" w:hAnsi="Times New Roman" w:cs="Times New Roman"/>
          <w:color w:val="002060"/>
          <w:sz w:val="24"/>
          <w:szCs w:val="24"/>
        </w:rPr>
        <w:t>изложить</w:t>
      </w:r>
      <w:r w:rsidRPr="002418AE">
        <w:rPr>
          <w:rFonts w:ascii="Times New Roman" w:hAnsi="Times New Roman" w:cs="Times New Roman"/>
          <w:color w:val="002060"/>
          <w:sz w:val="24"/>
          <w:szCs w:val="24"/>
        </w:rPr>
        <w:t xml:space="preserve"> в следующей редакции</w:t>
      </w:r>
      <w:r w:rsidR="00A04995" w:rsidRPr="002418AE">
        <w:rPr>
          <w:rFonts w:ascii="Times New Roman" w:eastAsia="Calibri" w:hAnsi="Times New Roman" w:cs="Times New Roman"/>
          <w:color w:val="002060"/>
          <w:sz w:val="24"/>
          <w:szCs w:val="24"/>
        </w:rPr>
        <w:t>:</w:t>
      </w:r>
    </w:p>
    <w:p w:rsidR="00481FE9" w:rsidRPr="002418AE" w:rsidRDefault="002418AE" w:rsidP="002418AE">
      <w:pPr>
        <w:autoSpaceDE w:val="0"/>
        <w:autoSpaceDN w:val="0"/>
        <w:adjustRightInd w:val="0"/>
        <w:ind w:left="284" w:firstLine="255"/>
        <w:jc w:val="both"/>
        <w:rPr>
          <w:bCs/>
          <w:color w:val="002060"/>
        </w:rPr>
      </w:pPr>
      <w:r>
        <w:rPr>
          <w:rFonts w:eastAsiaTheme="minorHAnsi"/>
          <w:color w:val="002060"/>
          <w:lang w:eastAsia="en-US"/>
        </w:rPr>
        <w:t xml:space="preserve">   </w:t>
      </w:r>
      <w:r w:rsidR="00FD5C8D" w:rsidRPr="002418AE">
        <w:rPr>
          <w:rFonts w:eastAsiaTheme="minorHAnsi"/>
          <w:color w:val="002060"/>
          <w:lang w:eastAsia="en-US"/>
        </w:rPr>
        <w:t>«</w:t>
      </w:r>
      <w:r w:rsidR="00481FE9" w:rsidRPr="002418AE">
        <w:rPr>
          <w:rFonts w:eastAsiaTheme="minorHAnsi"/>
          <w:color w:val="002060"/>
          <w:lang w:eastAsia="en-US"/>
        </w:rPr>
        <w:t xml:space="preserve">2.7.1. </w:t>
      </w:r>
      <w:r w:rsidR="00481FE9" w:rsidRPr="002418AE">
        <w:rPr>
          <w:bCs/>
          <w:color w:val="002060"/>
        </w:rPr>
        <w:t>Документы, представляемые заявителем самостоятельно:</w:t>
      </w:r>
    </w:p>
    <w:p w:rsidR="00481FE9" w:rsidRPr="002418AE" w:rsidRDefault="00481FE9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1) заявление о выдаче разрешения на строительство, реконструкцию составленное по форме, прилагаемой к настоящему Административному регламенту (приложение № 1);</w:t>
      </w:r>
    </w:p>
    <w:p w:rsidR="00481FE9" w:rsidRPr="002418AE" w:rsidRDefault="00481FE9" w:rsidP="002418AE">
      <w:pPr>
        <w:autoSpaceDE w:val="0"/>
        <w:autoSpaceDN w:val="0"/>
        <w:adjustRightInd w:val="0"/>
        <w:ind w:left="709" w:firstLine="11"/>
        <w:jc w:val="both"/>
        <w:rPr>
          <w:color w:val="002060"/>
        </w:rPr>
      </w:pPr>
      <w:r w:rsidRPr="002418AE">
        <w:rPr>
          <w:color w:val="002060"/>
        </w:rPr>
        <w:t>2) правоустанавливающие документы на земельный участок, в том числе                                                                                                 соглашение об установлении сервитута, решение об установлении публичного сервитута;</w:t>
      </w:r>
    </w:p>
    <w:p w:rsidR="00EA246D" w:rsidRPr="002418AE" w:rsidRDefault="00EA246D" w:rsidP="002418AE">
      <w:pPr>
        <w:autoSpaceDE w:val="0"/>
        <w:autoSpaceDN w:val="0"/>
        <w:adjustRightInd w:val="0"/>
        <w:ind w:left="709" w:firstLine="11"/>
        <w:jc w:val="both"/>
        <w:rPr>
          <w:color w:val="002060"/>
        </w:rPr>
      </w:pPr>
      <w:r w:rsidRPr="002418AE">
        <w:rPr>
          <w:color w:val="002060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</w:t>
      </w:r>
      <w:r w:rsidRPr="002418AE">
        <w:rPr>
          <w:color w:val="002060"/>
        </w:rPr>
        <w:lastRenderedPageBreak/>
        <w:t>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81FE9" w:rsidRPr="002418AE" w:rsidRDefault="00EA246D" w:rsidP="002418AE">
      <w:pPr>
        <w:autoSpaceDE w:val="0"/>
        <w:autoSpaceDN w:val="0"/>
        <w:adjustRightInd w:val="0"/>
        <w:ind w:left="709" w:firstLine="11"/>
        <w:jc w:val="both"/>
        <w:rPr>
          <w:color w:val="002060"/>
        </w:rPr>
      </w:pPr>
      <w:r w:rsidRPr="002418AE">
        <w:rPr>
          <w:color w:val="002060"/>
        </w:rPr>
        <w:t>4</w:t>
      </w:r>
      <w:r w:rsidR="00481FE9" w:rsidRPr="002418AE">
        <w:rPr>
          <w:color w:val="002060"/>
        </w:rPr>
        <w:t>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481FE9" w:rsidRPr="002418AE" w:rsidRDefault="00481FE9" w:rsidP="002418AE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2418AE">
        <w:rPr>
          <w:color w:val="002060"/>
        </w:rPr>
        <w:t>а) пояснительная записка;</w:t>
      </w:r>
    </w:p>
    <w:p w:rsidR="00481FE9" w:rsidRPr="002418AE" w:rsidRDefault="00481FE9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б) схема планировочной организации земельного участка, выполненная в соответствии с градостроительным планом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056ECC" w:rsidRPr="002418AE" w:rsidRDefault="00481FE9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 xml:space="preserve">в) </w:t>
      </w:r>
      <w:r w:rsidR="00056ECC" w:rsidRPr="002418AE">
        <w:rPr>
          <w:color w:val="002060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056ECC" w:rsidRPr="002418AE" w:rsidRDefault="00056ECC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 xml:space="preserve">г) </w:t>
      </w:r>
      <w:r w:rsidRPr="002418AE">
        <w:rPr>
          <w:rFonts w:eastAsiaTheme="minorHAnsi"/>
          <w:color w:val="002060"/>
          <w:lang w:eastAsia="en-US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81FE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5</w:t>
      </w:r>
      <w:r w:rsidR="00481FE9" w:rsidRPr="002418AE">
        <w:rPr>
          <w:color w:val="002060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EA246D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5</w:t>
      </w:r>
      <w:r w:rsidR="00EA246D" w:rsidRPr="002418AE">
        <w:rPr>
          <w:color w:val="002060"/>
        </w:rPr>
        <w:t>.1)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EA246D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5</w:t>
      </w:r>
      <w:r w:rsidR="00EA246D" w:rsidRPr="002418AE">
        <w:rPr>
          <w:color w:val="002060"/>
        </w:rPr>
        <w:t>.2)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EA246D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6</w:t>
      </w:r>
      <w:r w:rsidR="00EA246D" w:rsidRPr="002418AE">
        <w:rPr>
          <w:color w:val="002060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</w:t>
      </w:r>
      <w:r w:rsidR="00EA246D" w:rsidRPr="002418AE">
        <w:rPr>
          <w:color w:val="002060"/>
        </w:rPr>
        <w:lastRenderedPageBreak/>
        <w:t>такое разрешение в соответствии со статьей 40 Градостроительного Кодекса Российской Федерации);</w:t>
      </w:r>
    </w:p>
    <w:p w:rsidR="00481FE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7</w:t>
      </w:r>
      <w:r w:rsidR="00481FE9" w:rsidRPr="002418AE">
        <w:rPr>
          <w:color w:val="002060"/>
        </w:rPr>
        <w:t xml:space="preserve">) согласие всех правообладателей объекта капитального строительства в случае реконструкции такого объекта; </w:t>
      </w:r>
    </w:p>
    <w:p w:rsidR="007701A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7</w:t>
      </w:r>
      <w:r w:rsidR="007701A9" w:rsidRPr="002418AE">
        <w:rPr>
          <w:color w:val="002060"/>
        </w:rPr>
        <w:t>.1) соглашение о проведении реконструкции на объектах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7701A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7</w:t>
      </w:r>
      <w:r w:rsidR="007701A9" w:rsidRPr="002418AE">
        <w:rPr>
          <w:color w:val="002060"/>
        </w:rPr>
        <w:t xml:space="preserve">.2) решение общего собрания собственников помещений и </w:t>
      </w:r>
      <w:proofErr w:type="spellStart"/>
      <w:r w:rsidR="007701A9" w:rsidRPr="002418AE">
        <w:rPr>
          <w:color w:val="002060"/>
        </w:rPr>
        <w:t>машино</w:t>
      </w:r>
      <w:proofErr w:type="spellEnd"/>
      <w:r w:rsidR="007701A9" w:rsidRPr="002418AE">
        <w:rPr>
          <w:color w:val="002060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7701A9" w:rsidRPr="002418AE">
        <w:rPr>
          <w:color w:val="002060"/>
        </w:rPr>
        <w:t>машино</w:t>
      </w:r>
      <w:proofErr w:type="spellEnd"/>
      <w:r w:rsidR="007701A9" w:rsidRPr="002418AE">
        <w:rPr>
          <w:color w:val="002060"/>
        </w:rPr>
        <w:t>-мест в многоквартирном доме;</w:t>
      </w:r>
    </w:p>
    <w:p w:rsidR="00481FE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8</w:t>
      </w:r>
      <w:r w:rsidR="00481FE9" w:rsidRPr="002418AE">
        <w:rPr>
          <w:color w:val="002060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701A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9</w:t>
      </w:r>
      <w:r w:rsidR="007701A9" w:rsidRPr="002418AE">
        <w:rPr>
          <w:color w:val="002060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481FE9" w:rsidRPr="002418AE" w:rsidRDefault="00E04871" w:rsidP="002418AE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>10</w:t>
      </w:r>
      <w:r w:rsidR="00481FE9" w:rsidRPr="002418AE">
        <w:rPr>
          <w:color w:val="002060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8E6FE3" w:rsidRPr="002418AE" w:rsidRDefault="00481FE9" w:rsidP="002418AE">
      <w:pPr>
        <w:pStyle w:val="a6"/>
        <w:autoSpaceDE w:val="0"/>
        <w:autoSpaceDN w:val="0"/>
        <w:adjustRightInd w:val="0"/>
        <w:ind w:left="709"/>
        <w:jc w:val="both"/>
        <w:rPr>
          <w:color w:val="002060"/>
        </w:rPr>
      </w:pPr>
      <w:r w:rsidRPr="002418AE">
        <w:rPr>
          <w:color w:val="002060"/>
        </w:rPr>
        <w:t xml:space="preserve"> Документы, необходимые для получения разрешения на строительство, реконструкцию, представляются в двух экземплярах, один из которых должен быть подлинником.</w:t>
      </w:r>
      <w:r w:rsidR="00E04871" w:rsidRPr="002418AE">
        <w:rPr>
          <w:color w:val="002060"/>
        </w:rPr>
        <w:t>»</w:t>
      </w:r>
    </w:p>
    <w:p w:rsidR="00E71D9F" w:rsidRPr="002418AE" w:rsidRDefault="00E71D9F" w:rsidP="00E71D9F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color w:val="002060"/>
          <w:lang w:eastAsia="en-US"/>
        </w:rPr>
      </w:pPr>
    </w:p>
    <w:p w:rsidR="002418AE" w:rsidRPr="002418AE" w:rsidRDefault="002418AE" w:rsidP="002418AE">
      <w:pPr>
        <w:pStyle w:val="a6"/>
        <w:numPr>
          <w:ilvl w:val="0"/>
          <w:numId w:val="4"/>
        </w:numPr>
        <w:jc w:val="both"/>
        <w:rPr>
          <w:color w:val="002060"/>
          <w:sz w:val="23"/>
          <w:szCs w:val="23"/>
        </w:rPr>
      </w:pPr>
      <w:r w:rsidRPr="002418AE">
        <w:rPr>
          <w:color w:val="002060"/>
          <w:sz w:val="23"/>
          <w:szCs w:val="23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418AE">
          <w:rPr>
            <w:color w:val="0000FF"/>
            <w:sz w:val="23"/>
            <w:szCs w:val="23"/>
            <w:u w:val="single"/>
            <w:lang w:val="en-US"/>
          </w:rPr>
          <w:t>www</w:t>
        </w:r>
        <w:r w:rsidRPr="002418AE">
          <w:rPr>
            <w:color w:val="0000FF"/>
            <w:sz w:val="23"/>
            <w:szCs w:val="23"/>
            <w:u w:val="single"/>
          </w:rPr>
          <w:t>.</w:t>
        </w:r>
        <w:proofErr w:type="spellStart"/>
        <w:r w:rsidRPr="002418AE">
          <w:rPr>
            <w:color w:val="0000FF"/>
            <w:sz w:val="23"/>
            <w:szCs w:val="23"/>
            <w:u w:val="single"/>
            <w:lang w:val="en-US"/>
          </w:rPr>
          <w:t>hatanga</w:t>
        </w:r>
        <w:proofErr w:type="spellEnd"/>
        <w:r w:rsidRPr="002418AE">
          <w:rPr>
            <w:color w:val="0000FF"/>
            <w:sz w:val="23"/>
            <w:szCs w:val="23"/>
            <w:u w:val="single"/>
          </w:rPr>
          <w:t>24.</w:t>
        </w:r>
        <w:proofErr w:type="spellStart"/>
        <w:r w:rsidRPr="002418AE">
          <w:rPr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2418AE">
        <w:rPr>
          <w:color w:val="002060"/>
          <w:sz w:val="23"/>
          <w:szCs w:val="23"/>
        </w:rPr>
        <w:t>.</w:t>
      </w:r>
    </w:p>
    <w:p w:rsidR="00F23464" w:rsidRPr="002418AE" w:rsidRDefault="00F23464" w:rsidP="00214648">
      <w:pPr>
        <w:autoSpaceDE w:val="0"/>
        <w:jc w:val="both"/>
        <w:rPr>
          <w:color w:val="002060"/>
          <w:lang w:eastAsia="ar-SA"/>
        </w:rPr>
      </w:pPr>
    </w:p>
    <w:p w:rsidR="00F23464" w:rsidRPr="002418AE" w:rsidRDefault="00F23464" w:rsidP="002418AE">
      <w:pPr>
        <w:pStyle w:val="a6"/>
        <w:numPr>
          <w:ilvl w:val="0"/>
          <w:numId w:val="4"/>
        </w:numPr>
        <w:autoSpaceDE w:val="0"/>
        <w:jc w:val="both"/>
        <w:rPr>
          <w:color w:val="002060"/>
          <w:lang w:eastAsia="ar-SA"/>
        </w:rPr>
      </w:pPr>
      <w:r w:rsidRPr="002418AE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23464" w:rsidRPr="002418AE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23464" w:rsidRPr="002418AE" w:rsidRDefault="00F23464" w:rsidP="002418AE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2418AE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 Скрипкина А.</w:t>
      </w:r>
      <w:r w:rsidR="002418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18AE">
        <w:rPr>
          <w:rFonts w:ascii="Times New Roman" w:hAnsi="Times New Roman" w:cs="Times New Roman"/>
          <w:color w:val="002060"/>
          <w:sz w:val="24"/>
          <w:szCs w:val="24"/>
        </w:rPr>
        <w:t>С.</w:t>
      </w:r>
    </w:p>
    <w:p w:rsidR="002418AE" w:rsidRDefault="002418A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418AE" w:rsidRDefault="002418A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418AE" w:rsidRDefault="002418A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23464" w:rsidRPr="002418AE" w:rsidRDefault="00A57B73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18AE">
        <w:rPr>
          <w:rFonts w:ascii="Times New Roman" w:hAnsi="Times New Roman" w:cs="Times New Roman"/>
          <w:color w:val="002060"/>
          <w:sz w:val="24"/>
          <w:szCs w:val="24"/>
        </w:rPr>
        <w:t>Исполняющая обязанности</w:t>
      </w:r>
    </w:p>
    <w:p w:rsidR="009E1E81" w:rsidRPr="002418AE" w:rsidRDefault="00A57B73">
      <w:pPr>
        <w:rPr>
          <w:color w:val="002060"/>
        </w:rPr>
      </w:pPr>
      <w:r w:rsidRPr="002418AE">
        <w:rPr>
          <w:color w:val="002060"/>
        </w:rPr>
        <w:t>Главы</w:t>
      </w:r>
      <w:r w:rsidR="008E5A86" w:rsidRPr="002418AE">
        <w:rPr>
          <w:color w:val="002060"/>
        </w:rPr>
        <w:t xml:space="preserve"> сельского поселения Хатанга                                                          </w:t>
      </w:r>
      <w:r w:rsidR="005E74BD" w:rsidRPr="002418AE">
        <w:rPr>
          <w:color w:val="002060"/>
        </w:rPr>
        <w:t xml:space="preserve">   </w:t>
      </w:r>
      <w:r w:rsidR="008E5A86" w:rsidRPr="002418AE">
        <w:rPr>
          <w:color w:val="002060"/>
        </w:rPr>
        <w:t xml:space="preserve"> </w:t>
      </w:r>
      <w:r w:rsidR="002418AE">
        <w:rPr>
          <w:color w:val="002060"/>
        </w:rPr>
        <w:t xml:space="preserve">          </w:t>
      </w:r>
      <w:r w:rsidRPr="002418AE">
        <w:rPr>
          <w:color w:val="002060"/>
        </w:rPr>
        <w:t xml:space="preserve">  А.</w:t>
      </w:r>
      <w:r w:rsidR="002418AE">
        <w:rPr>
          <w:color w:val="002060"/>
        </w:rPr>
        <w:t xml:space="preserve"> </w:t>
      </w:r>
      <w:r w:rsidRPr="002418AE">
        <w:rPr>
          <w:color w:val="002060"/>
        </w:rPr>
        <w:t>И. Бетту</w:t>
      </w:r>
    </w:p>
    <w:sectPr w:rsidR="009E1E81" w:rsidRPr="002418A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64" w:rsidRDefault="009D3C64">
      <w:r>
        <w:separator/>
      </w:r>
    </w:p>
  </w:endnote>
  <w:endnote w:type="continuationSeparator" w:id="0">
    <w:p w:rsidR="009D3C64" w:rsidRDefault="009D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64" w:rsidRDefault="009D3C64">
      <w:r>
        <w:separator/>
      </w:r>
    </w:p>
  </w:footnote>
  <w:footnote w:type="continuationSeparator" w:id="0">
    <w:p w:rsidR="009D3C64" w:rsidRDefault="009D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E621D9" w:rsidRDefault="00D42F7B" w:rsidP="008013B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19103489"/>
    <w:multiLevelType w:val="hybridMultilevel"/>
    <w:tmpl w:val="CC60145C"/>
    <w:lvl w:ilvl="0" w:tplc="4B101F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3">
    <w:nsid w:val="4E7D6811"/>
    <w:multiLevelType w:val="multilevel"/>
    <w:tmpl w:val="F8DCC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44521"/>
    <w:rsid w:val="00056ECC"/>
    <w:rsid w:val="000C6022"/>
    <w:rsid w:val="0011443E"/>
    <w:rsid w:val="00165632"/>
    <w:rsid w:val="001A1B8B"/>
    <w:rsid w:val="001C19BC"/>
    <w:rsid w:val="001D008F"/>
    <w:rsid w:val="001D6917"/>
    <w:rsid w:val="00214648"/>
    <w:rsid w:val="002418AE"/>
    <w:rsid w:val="00261FB3"/>
    <w:rsid w:val="002B2F1A"/>
    <w:rsid w:val="002E12CF"/>
    <w:rsid w:val="00315A54"/>
    <w:rsid w:val="00333CA5"/>
    <w:rsid w:val="00336E33"/>
    <w:rsid w:val="00481FE9"/>
    <w:rsid w:val="0049133B"/>
    <w:rsid w:val="004A4335"/>
    <w:rsid w:val="0050607F"/>
    <w:rsid w:val="00511A89"/>
    <w:rsid w:val="005E74BD"/>
    <w:rsid w:val="005F6FF0"/>
    <w:rsid w:val="00602D3E"/>
    <w:rsid w:val="00623515"/>
    <w:rsid w:val="00623D07"/>
    <w:rsid w:val="006C0BD7"/>
    <w:rsid w:val="007701A9"/>
    <w:rsid w:val="007974CD"/>
    <w:rsid w:val="007C127C"/>
    <w:rsid w:val="008013B4"/>
    <w:rsid w:val="00861DDB"/>
    <w:rsid w:val="00864655"/>
    <w:rsid w:val="008E5A86"/>
    <w:rsid w:val="008E6FE3"/>
    <w:rsid w:val="00915E0A"/>
    <w:rsid w:val="009D3C64"/>
    <w:rsid w:val="009D58D0"/>
    <w:rsid w:val="009E1E81"/>
    <w:rsid w:val="009F6783"/>
    <w:rsid w:val="00A04995"/>
    <w:rsid w:val="00A23D43"/>
    <w:rsid w:val="00A34661"/>
    <w:rsid w:val="00A450A0"/>
    <w:rsid w:val="00A57B73"/>
    <w:rsid w:val="00AA28A0"/>
    <w:rsid w:val="00AB17B6"/>
    <w:rsid w:val="00AF75A4"/>
    <w:rsid w:val="00BB548D"/>
    <w:rsid w:val="00C552C9"/>
    <w:rsid w:val="00CD5D8C"/>
    <w:rsid w:val="00D42F7B"/>
    <w:rsid w:val="00D61349"/>
    <w:rsid w:val="00DC4ECA"/>
    <w:rsid w:val="00E03512"/>
    <w:rsid w:val="00E04871"/>
    <w:rsid w:val="00E54C31"/>
    <w:rsid w:val="00E71D9F"/>
    <w:rsid w:val="00E84372"/>
    <w:rsid w:val="00EA15DF"/>
    <w:rsid w:val="00EA246D"/>
    <w:rsid w:val="00F23464"/>
    <w:rsid w:val="00F3607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1F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8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1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1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6A95-7E8C-4F00-81C6-38C441E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13</cp:revision>
  <cp:lastPrinted>2019-08-12T03:18:00Z</cp:lastPrinted>
  <dcterms:created xsi:type="dcterms:W3CDTF">2018-10-31T04:44:00Z</dcterms:created>
  <dcterms:modified xsi:type="dcterms:W3CDTF">2019-08-12T03:19:00Z</dcterms:modified>
</cp:coreProperties>
</file>