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F4" w:rsidRPr="006F638B" w:rsidRDefault="000002F4" w:rsidP="006F638B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6F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6F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6F638B" w:rsidRPr="006F638B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 wp14:anchorId="5058B3AE" wp14:editId="75F1FE63">
            <wp:extent cx="485775" cy="609600"/>
            <wp:effectExtent l="19050" t="0" r="952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0002F4" w:rsidRPr="006F638B" w:rsidRDefault="000002F4" w:rsidP="006F638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002F4" w:rsidRPr="006F638B" w:rsidRDefault="000002F4" w:rsidP="006F638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0002F4" w:rsidRPr="006F638B" w:rsidRDefault="000002F4" w:rsidP="006F63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0002F4" w:rsidRPr="006F638B" w:rsidRDefault="000002F4" w:rsidP="006F63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0002F4" w:rsidRPr="001B2508" w:rsidRDefault="000002F4" w:rsidP="006F63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002F4" w:rsidRPr="001B2508" w:rsidRDefault="000002F4" w:rsidP="006F63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002F4" w:rsidRPr="006F638B" w:rsidRDefault="000002F4" w:rsidP="006F63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002F4" w:rsidRPr="001B2508" w:rsidRDefault="000002F4" w:rsidP="006F638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5"/>
        <w:gridCol w:w="4930"/>
      </w:tblGrid>
      <w:tr w:rsidR="000002F4" w:rsidRPr="006F638B" w:rsidTr="00EB169F">
        <w:tc>
          <w:tcPr>
            <w:tcW w:w="4785" w:type="dxa"/>
          </w:tcPr>
          <w:p w:rsidR="000002F4" w:rsidRPr="006F638B" w:rsidRDefault="006F638B" w:rsidP="006F638B">
            <w:pPr>
              <w:suppressAutoHyphens/>
              <w:spacing w:after="0" w:line="240" w:lineRule="auto"/>
              <w:ind w:hanging="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  <w:r w:rsidR="000002F4" w:rsidRPr="006F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.2022 г. </w:t>
            </w:r>
          </w:p>
        </w:tc>
        <w:tc>
          <w:tcPr>
            <w:tcW w:w="5403" w:type="dxa"/>
          </w:tcPr>
          <w:p w:rsidR="000002F4" w:rsidRPr="006F638B" w:rsidRDefault="006F638B" w:rsidP="006F638B">
            <w:pPr>
              <w:suppressAutoHyphens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2F4" w:rsidRPr="006F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021</w:t>
            </w:r>
            <w:r w:rsidR="000002F4" w:rsidRPr="006F63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 </w:t>
            </w:r>
          </w:p>
        </w:tc>
      </w:tr>
    </w:tbl>
    <w:p w:rsidR="000002F4" w:rsidRPr="001B2508" w:rsidRDefault="000002F4" w:rsidP="006F63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002F4" w:rsidRPr="006F638B" w:rsidRDefault="000002F4" w:rsidP="006F638B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F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6F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остановление </w:t>
      </w:r>
      <w:r w:rsidR="006F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F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</w:t>
      </w:r>
      <w:r w:rsidR="006F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Хатанга от 30.12.2013</w:t>
      </w:r>
      <w:r w:rsidRPr="006F6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197-П «Об утверждении Положения о закупке для нужд Заказчиков сельского поселения Хатанга»</w:t>
      </w:r>
    </w:p>
    <w:p w:rsidR="000002F4" w:rsidRPr="001B2508" w:rsidRDefault="000002F4" w:rsidP="006F638B">
      <w:pPr>
        <w:tabs>
          <w:tab w:val="left" w:pos="4820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002F4" w:rsidRPr="006F638B" w:rsidRDefault="000002F4" w:rsidP="006F6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638B">
        <w:rPr>
          <w:rFonts w:ascii="Times New Roman" w:eastAsia="Calibri" w:hAnsi="Times New Roman" w:cs="Times New Roman"/>
          <w:sz w:val="28"/>
          <w:szCs w:val="28"/>
        </w:rPr>
        <w:t xml:space="preserve">В целях упорядочения процедур в сфере закупок для муниципальных нужд сельского поселения Хатанга в соответствии с Федеральным законом </w:t>
      </w:r>
      <w:r w:rsidR="006F638B">
        <w:rPr>
          <w:rFonts w:ascii="Times New Roman" w:eastAsia="Calibri" w:hAnsi="Times New Roman" w:cs="Times New Roman"/>
          <w:sz w:val="28"/>
          <w:szCs w:val="28"/>
        </w:rPr>
        <w:t xml:space="preserve">   от 05.04.2013</w:t>
      </w:r>
      <w:r w:rsidRPr="006F638B">
        <w:rPr>
          <w:rFonts w:ascii="Times New Roman" w:eastAsia="Calibri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</w:t>
      </w:r>
    </w:p>
    <w:p w:rsidR="000002F4" w:rsidRPr="001B2508" w:rsidRDefault="000002F4" w:rsidP="006F638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002F4" w:rsidRPr="006F638B" w:rsidRDefault="000002F4" w:rsidP="006F638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6F638B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ПОСТАНОВЛЯЮ:</w:t>
      </w:r>
    </w:p>
    <w:p w:rsidR="000002F4" w:rsidRPr="001B2508" w:rsidRDefault="000002F4" w:rsidP="006F63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002F4" w:rsidRPr="006F638B" w:rsidRDefault="000002F4" w:rsidP="006F638B">
      <w:pPr>
        <w:numPr>
          <w:ilvl w:val="0"/>
          <w:numId w:val="1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сельского поселения Хатанга от 30.12.2013 № 197-П «Об утверждении Положения о закупке для нужд Заказчиков сельского поселения Хатанга» (далее – Положение) следующие изменения:</w:t>
      </w:r>
    </w:p>
    <w:p w:rsidR="000002F4" w:rsidRPr="001B2508" w:rsidRDefault="000002F4" w:rsidP="006F63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3216" w:rsidRDefault="000002F4" w:rsidP="006F638B">
      <w:pPr>
        <w:numPr>
          <w:ilvl w:val="1"/>
          <w:numId w:val="2"/>
        </w:numPr>
        <w:suppressAutoHyphens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2321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3.5</w:t>
      </w:r>
      <w:r w:rsidR="008B228C"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3 «Порядок формирования закупок» </w:t>
      </w: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8B228C"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16">
        <w:rPr>
          <w:rFonts w:ascii="Times New Roman" w:eastAsia="Times New Roman" w:hAnsi="Times New Roman" w:cs="Times New Roman"/>
          <w:sz w:val="28"/>
          <w:szCs w:val="28"/>
          <w:lang w:eastAsia="ru-RU"/>
        </w:rPr>
        <w:t>«3.5. Обеспечение заявок при проведении конкурентных закупок.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конкурентных способов заказчик обязан установить требование обеспечения заявок на участие в закупке. Заказчик вправе не устанавливать такое требование в случае, если начальная (максимальная) цена контракта не превышает один миллион рублей.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заявки на участие в закупке устанавливается в соответствии с </w:t>
      </w:r>
      <w:r w:rsidR="00523216"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</w:t>
      </w: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5232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системе в следующих размерах: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1) если размер начальной (максимальной) цены контракта не превышает двадцать миллионов рублей, - от одной второй процента до одного процента начальной (максимальной) цены контракта;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2) если размер начальной (максимальной) цены контракта превышает двадцать миллионов рублей, - от одной второй процента до пяти процентов начальной (максимальной) цены контракта.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уголовно-исполнительной системы, организации инвалидов, предусмотренные частью 2 статьи 29 </w:t>
      </w:r>
      <w:r w:rsidR="00523216"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5232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системе, предоставляют обеспечение заявки на участие в закупке (в </w:t>
      </w: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установления заказчиком требования обеспечения заявок на участие в закупке) в размере одной второй процента начальной (максимальной) цены контракта. Государственные, муниципальные учреждения не предоставляют обеспечение подаваемых ими заявок на участие в закупках.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заявки на участие в закупке может предоставляться участником закупки в виде денежных средств или независимой гарантии, предусмотренной статьей 45 </w:t>
      </w:r>
      <w:r w:rsidR="00523216"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5232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системе. Выбор способа обеспечения осуществляется участником закупки самостоятельно. Срок действия независимой гарантии должен составлять не менее месяца с даты окончания срока подачи заявок.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электронных процедур обеспечение заявки на участие в закупке предоставляется одним из следующих способов: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путем блокирования денежных средств, внесенных участником закупки на банковский счет, открытый таким участником в банке, включенном в перечень, утвержденный Правительством Российской Федерации (далее - специальный счет). Требования к таким банкам, к договору специального счета,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Федерации;</w:t>
      </w:r>
    </w:p>
    <w:p w:rsidR="000002F4" w:rsidRPr="006F638B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путем предоставления независимой гарантии, соответствующей требованиям статьи 45 </w:t>
      </w:r>
      <w:r w:rsidR="00523216"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</w:t>
      </w: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</w:t>
      </w:r>
      <w:r w:rsidR="005232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системе.</w:t>
      </w:r>
      <w:r w:rsidR="005232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»;</w:t>
      </w:r>
    </w:p>
    <w:p w:rsidR="000002F4" w:rsidRPr="001B2508" w:rsidRDefault="000002F4" w:rsidP="006F638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23216" w:rsidRDefault="00523216" w:rsidP="006F638B">
      <w:pPr>
        <w:numPr>
          <w:ilvl w:val="1"/>
          <w:numId w:val="2"/>
        </w:numPr>
        <w:suppressAutoHyphens/>
        <w:spacing w:after="0" w:line="240" w:lineRule="auto"/>
        <w:ind w:left="709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2F4"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Пункт 3.</w:t>
      </w:r>
      <w:r w:rsidR="000002F4"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228C"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Раздела 3 «Порядок формирования </w:t>
      </w: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закупок» изложить</w:t>
      </w:r>
      <w:r w:rsidR="000002F4"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 </w:t>
      </w:r>
      <w:r w:rsidR="008B228C"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0002F4"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редакции</w:t>
      </w:r>
      <w:r w:rsidR="000002F4"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«</w:t>
      </w:r>
      <w:r w:rsidRPr="00523216">
        <w:rPr>
          <w:rFonts w:ascii="Times New Roman" w:hAnsi="Times New Roman" w:cs="Times New Roman"/>
          <w:sz w:val="28"/>
          <w:szCs w:val="28"/>
        </w:rPr>
        <w:t xml:space="preserve"> </w:t>
      </w:r>
      <w:r w:rsidRPr="005232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3.6. Обеспечение исполнения контракта.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Контрактный управляющий Заказчика при осуществлении закупки, при приглашении принять участие в определении поставщика (подрядчика, исполнителя) должен установить требование обеспечения исполнения контракта, за исключением случаев, предусмотренных частью 2 статьи 96 Закона о контрактной системе.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Заказчик вправе установить в извещении об осуществлении закупки, проекте контракта требование обеспечения исполнения контракта при осуществлении закупок путем проведения электронного запроса котировок (за исключением случая, предусмотренного подпунктом "б" пункта 2 части 10 статьи 24 Закона о контрактной системе), а также закупок, предусмотренных пунктами 1, 2 (если правовыми актами, предусмотренными указанным пунктом, не предусмотрена обязанность Заказчика установить требование обеспечения исполнения контракта), </w:t>
      </w:r>
      <w:r w:rsidR="007F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4 - 11, 13 - 15, 17, 20 - 23, 26, 28 - 34, 40 - 42, 44, 45, 46, 47 - 48 (если контрактами, заключаемыми в соответствии с пунктами 47 - 48, не предусмотрена выплата аванса), 51 - 53, 55 - 58, 59 части 1 статьи 93 Закона о контрактной системе.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Заказчик вправе установить в извещении об осуществлении закупки, документации о закупке, проекте контракта, приглашении требование обеспечения гарантийных обязательств в случае установления </w:t>
      </w: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требований к таким обязательствам в соответствии с частью 4 статьи 33 Закона о контрактной системе. Размер обеспечения гарантийных обязательств не может превышать десять процентов от начальной (максимальной) цены контракта, от цены контракта, заключаемого с единственным поставщиком (подрядчиком, исполнителем).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Исполнение контракта, гарантийные обязательства могут обеспечиваться предоставлением независимой гарантии, соответствующей требованиям статьи 45 Закона о контрактной системе,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контракта, гарантийных обязательств, срок действия независимой гарантии определяются в соответствии с требованиями Закона о контрактной системе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о контрактной системе.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о контрактной системе.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части, предусмотренной пунктом 1 части 1.1 статьи 96 Закона о контрактной системе.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случае непредоставления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случае установления Заказчиком в соответствии с статьей 96 Закона о контрактной системе требования обеспечения исполнения контракта размер такого обеспечения устанавливается в соответствии с настоящим законом в извещении об осуществлении закупки, документации о закупке, проекте контракта, приглашении в размере от одной второй процента до тридцати процентов начальной (максимальной) цены контракта, за исключением случаев, предусмотренных частями 6.1 - 6.2-1 статьи 96 Закона о контрактной системе. При этом, если: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1) контрактом предусмотрена выплата аванса, размер обеспечения исполнения контракта устанавливается не менее чем в размере аванса, за исключением случая, предусмотренного пунктом 3 части 6 статьи </w:t>
      </w:r>
      <w:r w:rsidR="005232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96 Закона о контрактной системе</w:t>
      </w: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;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2) аванс превышает тридцать процентов начальной (максимальной) цены контракта, размер обеспечения исполнения контракта устанавливается в размере аванса;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3) в соответствии с законодательством Российской Федерации расчеты по контракту в части выплаты аванса подлежат казначейскому сопровождению, размер обеспечения исполнения контракта устанавливается заказчиком от начальной (максимальной) цены контракта (от цены контракта в случае, предусмотренном частью 6.2  статьи 96 Закона о контрактной системе при заключении контракта по результатам определения поставщиков (подрядчиков, исполнителей) в соответствии с пунктом 1 части 1 статьи 3</w:t>
      </w:r>
      <w:r w:rsidR="005232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0 Закона о контрактной системе</w:t>
      </w: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), уменьшенной на размер такого аванса.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Если контракт заключается по результатам определения поставщика (подрядчика, исполнителя) в соответствии с пунктом 1 части 1 статьи 30 Закона о контрактной системе и Заказчиком установлено требование обеспечения исполнения контракта, размер такого обеспечения устанавливается в соответствии с частями 6 и 6.1 статьи 96 Закона о контрактной системе от цены контракта, по которой заключается контракт.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Закона о контрактной системе, освобождается от предоставления обеспечения исполнения контракта, в том числе с учетом положений статьи </w:t>
      </w:r>
      <w:r w:rsidR="00523216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37 Закона о контрактной системе</w:t>
      </w: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 от обеспечения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Закона о контрактной системе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523216" w:rsidRDefault="000002F4" w:rsidP="00523216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случае, если предложенные в заявке участника закупки цена, сумма цен единиц товара, работы, услуги снижены на двадцать пять и более процентов по отношению к начальной (максимальной) цене контракта, начальной сумме цен единиц товара, работы, услуги, участник закупки, с которым заключается контракт, предоставляет обеспечение исполнения контракта с учетом положений статьи 37 Закона о контрактной системе.</w:t>
      </w:r>
    </w:p>
    <w:p w:rsidR="007F21C9" w:rsidRDefault="000002F4" w:rsidP="007F21C9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</w:t>
      </w: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>системе. Поставщик (подрядчик, исполнитель)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</w:p>
    <w:p w:rsidR="007F21C9" w:rsidRDefault="000002F4" w:rsidP="007F21C9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случае,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7F21C9" w:rsidRDefault="000002F4" w:rsidP="007F21C9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Положения Закона о контрактной системе об обеспечении исполнения контракта, включая положения о предоставлении такого обеспечения с учетом положений статьи 37 Закона о контрактной системе, об обеспечении гарантийных обязательств не применяются в случае:</w:t>
      </w:r>
    </w:p>
    <w:p w:rsidR="007F21C9" w:rsidRDefault="000002F4" w:rsidP="007F21C9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1) заключения контракта с участником закупки, который является казенным учреждением;</w:t>
      </w:r>
    </w:p>
    <w:p w:rsidR="007F21C9" w:rsidRDefault="000002F4" w:rsidP="007F21C9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2) осуществления закупки услуги по предоставлению кредита;</w:t>
      </w:r>
    </w:p>
    <w:p w:rsidR="007F21C9" w:rsidRDefault="000002F4" w:rsidP="007F21C9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3) заключения бюджетным учреждением, государственным, муниципальным унитарными предприятиями контракта, предметом которого является выдача независимой гарантии.</w:t>
      </w:r>
    </w:p>
    <w:p w:rsidR="007F21C9" w:rsidRDefault="000002F4" w:rsidP="007F21C9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Осуществление контроля за сроками и совершением необходимых действий возлагается на контрактного управляющего Заказчика.</w:t>
      </w:r>
    </w:p>
    <w:p w:rsidR="007F21C9" w:rsidRDefault="000002F4" w:rsidP="007F21C9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Бухгалтерское сопровождение, в части осуществления закупки для нужд Администрации, осуществляет специалист (работник) МКУ «Центра ОД МУ сельского поселения Хатанга», а именно: </w:t>
      </w:r>
    </w:p>
    <w:p w:rsidR="007F21C9" w:rsidRDefault="000002F4" w:rsidP="007F21C9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предоставление контрактному управляющему Администрации банковского (платежного или иного) документа, подтверждающего поступление денежных средств в качестве обеспечения исполнения контракта в течении 1 рабочего дня, с момента поступления денежных средств;</w:t>
      </w:r>
    </w:p>
    <w:p w:rsidR="000002F4" w:rsidRPr="006F638B" w:rsidRDefault="000002F4" w:rsidP="007F21C9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- соблюдение сроков возврата денежных средств, перечисленных в качестве обеспечения контракта.».</w:t>
      </w:r>
    </w:p>
    <w:p w:rsidR="000002F4" w:rsidRPr="006F638B" w:rsidRDefault="000002F4" w:rsidP="006F638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1C9" w:rsidRDefault="007F21C9" w:rsidP="007F21C9">
      <w:pPr>
        <w:numPr>
          <w:ilvl w:val="0"/>
          <w:numId w:val="2"/>
        </w:numPr>
        <w:autoSpaceDE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903E7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www.hatanga24.ru</w:t>
        </w:r>
      </w:hyperlink>
      <w:r w:rsidRPr="007F2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1C9" w:rsidRDefault="007F21C9" w:rsidP="007F21C9">
      <w:pPr>
        <w:autoSpaceDE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1C9" w:rsidRDefault="007F21C9" w:rsidP="007F21C9">
      <w:pPr>
        <w:numPr>
          <w:ilvl w:val="0"/>
          <w:numId w:val="2"/>
        </w:numPr>
        <w:autoSpaceDE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1C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7F21C9" w:rsidRDefault="007F21C9" w:rsidP="007F21C9">
      <w:pPr>
        <w:autoSpaceDE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1C9" w:rsidRPr="007F21C9" w:rsidRDefault="007F21C9" w:rsidP="007F21C9">
      <w:pPr>
        <w:numPr>
          <w:ilvl w:val="0"/>
          <w:numId w:val="2"/>
        </w:numPr>
        <w:autoSpaceDE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7F21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в день, следующим за днем его официального опубликования.</w:t>
      </w:r>
    </w:p>
    <w:p w:rsidR="000002F4" w:rsidRPr="006F638B" w:rsidRDefault="000002F4" w:rsidP="006F63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1C9" w:rsidRDefault="007F21C9" w:rsidP="006F63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508" w:rsidRPr="006F638B" w:rsidRDefault="001B2508" w:rsidP="006F638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F37" w:rsidRPr="001B2508" w:rsidRDefault="000002F4" w:rsidP="001B2508">
      <w:pPr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941F9"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Хатанга</w:t>
      </w:r>
      <w:r w:rsidR="007F21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1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21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1B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941F9" w:rsidRPr="006F638B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Скрипкин</w:t>
      </w:r>
    </w:p>
    <w:sectPr w:rsidR="004D7F37" w:rsidRPr="001B2508" w:rsidSect="001B2508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4A3C2D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A740BCF"/>
    <w:multiLevelType w:val="multilevel"/>
    <w:tmpl w:val="80EEB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F4"/>
    <w:rsid w:val="000002F4"/>
    <w:rsid w:val="0005266C"/>
    <w:rsid w:val="001B2508"/>
    <w:rsid w:val="00344ED1"/>
    <w:rsid w:val="004941F9"/>
    <w:rsid w:val="00523216"/>
    <w:rsid w:val="006F638B"/>
    <w:rsid w:val="007A7F7C"/>
    <w:rsid w:val="007F21C9"/>
    <w:rsid w:val="008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EDFA7-AE04-46C1-9DC3-F0F2D785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2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21C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2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Марьясова</dc:creator>
  <cp:keywords/>
  <dc:description/>
  <cp:lastModifiedBy>Татьяна Ильина</cp:lastModifiedBy>
  <cp:revision>5</cp:revision>
  <cp:lastPrinted>2022-02-25T09:55:00Z</cp:lastPrinted>
  <dcterms:created xsi:type="dcterms:W3CDTF">2022-02-25T03:57:00Z</dcterms:created>
  <dcterms:modified xsi:type="dcterms:W3CDTF">2022-02-25T09:55:00Z</dcterms:modified>
</cp:coreProperties>
</file>