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8B" w:rsidRPr="004A178B" w:rsidRDefault="004A178B" w:rsidP="004A178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4A178B" w:rsidRPr="004A178B" w:rsidRDefault="00142DFD" w:rsidP="00142DFD">
      <w:pPr>
        <w:tabs>
          <w:tab w:val="center" w:pos="4677"/>
          <w:tab w:val="left" w:pos="7263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</w:r>
      <w:r w:rsidR="004A178B" w:rsidRPr="004A178B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         </w:t>
      </w:r>
      <w:r w:rsidR="004A178B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539B9E3D" wp14:editId="14126D98">
            <wp:extent cx="457200" cy="575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</w:r>
    </w:p>
    <w:p w:rsidR="004A178B" w:rsidRPr="00FB0096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B009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РОССИЙСКАЯ ФЕДЕРАЦИЯ</w:t>
      </w:r>
    </w:p>
    <w:p w:rsidR="004A178B" w:rsidRPr="00FB0096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B009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КРАСНОЯРСКИЙ КРАЙ</w:t>
      </w:r>
    </w:p>
    <w:p w:rsidR="004A178B" w:rsidRPr="00FB0096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B009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ТАЙМЫРСКИЙ ДОЛГАНО-НЕНЕЦКИЙ МУНИЦИПАЛЬНЫЙ РАЙОН</w:t>
      </w:r>
    </w:p>
    <w:p w:rsidR="004A178B" w:rsidRPr="00FB0096" w:rsidRDefault="004A178B" w:rsidP="004A178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0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4A178B" w:rsidRPr="006C0590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178B" w:rsidRPr="004A178B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1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A178B" w:rsidRPr="004A178B" w:rsidRDefault="004A18DE" w:rsidP="004A178B">
      <w:pPr>
        <w:keepNext/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510EB">
        <w:rPr>
          <w:rFonts w:ascii="Times New Roman" w:eastAsia="Times New Roman" w:hAnsi="Times New Roman" w:cs="Times New Roman"/>
          <w:b/>
          <w:sz w:val="24"/>
          <w:lang w:eastAsia="ru-RU"/>
        </w:rPr>
        <w:t>22 сентября 2017 года</w:t>
      </w:r>
      <w:r w:rsidR="004A178B" w:rsidRPr="00C510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</w:t>
      </w:r>
      <w:r w:rsidR="00C510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4A178B" w:rsidRPr="00C510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№ </w:t>
      </w:r>
      <w:r w:rsidRPr="00C510EB">
        <w:rPr>
          <w:rFonts w:ascii="Times New Roman" w:eastAsia="Times New Roman" w:hAnsi="Times New Roman" w:cs="Times New Roman"/>
          <w:b/>
          <w:sz w:val="24"/>
          <w:lang w:eastAsia="ru-RU"/>
        </w:rPr>
        <w:t>46</w:t>
      </w:r>
      <w:r w:rsidR="004A178B" w:rsidRPr="00C510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– РС</w:t>
      </w:r>
      <w:r w:rsidR="004A178B" w:rsidRPr="004A178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A178B" w:rsidRPr="004A17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05346" w:rsidRDefault="00905346" w:rsidP="004A178B">
      <w:pPr>
        <w:keepNext/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346" w:rsidRPr="006C0590" w:rsidRDefault="00905346" w:rsidP="004A178B">
      <w:pPr>
        <w:keepNext/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49"/>
      </w:tblGrid>
      <w:tr w:rsidR="00905346" w:rsidTr="00FB0096">
        <w:trPr>
          <w:trHeight w:val="2832"/>
        </w:trPr>
        <w:tc>
          <w:tcPr>
            <w:tcW w:w="5849" w:type="dxa"/>
          </w:tcPr>
          <w:p w:rsidR="00905346" w:rsidRDefault="00905346" w:rsidP="00905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 утверждении Соглашения о</w:t>
            </w:r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передаче полномочия органов местного самоуправления сельского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поселения Хатанга органам местного </w:t>
            </w:r>
          </w:p>
          <w:p w:rsidR="00905346" w:rsidRDefault="00905346" w:rsidP="009053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самоуправления Таймырского Долгано-Ненецкого муниципального района по организации содержания муниципального жилищного фонда в части утверждения краткосрочного </w:t>
            </w:r>
            <w:proofErr w:type="gramStart"/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 реализации региональной программы капитального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ремонта общего имущества</w:t>
            </w:r>
            <w:proofErr w:type="gramEnd"/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многоквартирных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0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домах»</w:t>
            </w:r>
          </w:p>
        </w:tc>
      </w:tr>
    </w:tbl>
    <w:p w:rsidR="00905346" w:rsidRDefault="00905346" w:rsidP="00905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78B" w:rsidRDefault="004A178B" w:rsidP="004A178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</w:t>
      </w:r>
      <w:r w:rsidR="009053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</w:t>
      </w:r>
      <w:r w:rsidR="0090534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Федерального </w:t>
      </w:r>
      <w:r w:rsidR="00243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06.10.2013 №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</w:t>
      </w:r>
      <w:r w:rsidR="00E14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534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ч</w:t>
      </w:r>
      <w:r w:rsidR="009053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астью 2 статьи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Устава сельского поселения Хатанга,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Хата</w:t>
      </w:r>
      <w:r w:rsidR="00112113">
        <w:rPr>
          <w:rFonts w:ascii="Times New Roman" w:eastAsia="Times New Roman" w:hAnsi="Times New Roman" w:cs="Times New Roman"/>
          <w:sz w:val="24"/>
          <w:szCs w:val="24"/>
          <w:lang w:eastAsia="ru-RU"/>
        </w:rPr>
        <w:t>нгский сельский С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</w:p>
    <w:p w:rsidR="004A178B" w:rsidRPr="004A178B" w:rsidRDefault="004A178B" w:rsidP="004A178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A178B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4A178B" w:rsidRPr="004A178B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78B" w:rsidRDefault="004A178B" w:rsidP="00BE7563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осуществление </w:t>
      </w:r>
      <w:r w:rsidR="0024308A"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органов</w:t>
      </w:r>
      <w:r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сельского поселения Хатанга по организации содержания муниципального жилищного фонда в части утверждения краткосрочного </w:t>
      </w:r>
      <w:proofErr w:type="gramStart"/>
      <w:r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многоквартирных домах органам местного самоуправления Таймырского Долгано-Ненецкого муниципального района.</w:t>
      </w:r>
    </w:p>
    <w:p w:rsidR="00905346" w:rsidRPr="00905346" w:rsidRDefault="00905346" w:rsidP="00BE75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46" w:rsidRDefault="00E1401A" w:rsidP="00BE7563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4A178B"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4A178B"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DFD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4A178B"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полномочия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содержания муниципального жилищного фонда в части утверждения краткосрочного </w:t>
      </w:r>
      <w:proofErr w:type="gramStart"/>
      <w:r w:rsidR="004A178B"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реализации региональной программы капитального ремонта общего имущества</w:t>
      </w:r>
      <w:proofErr w:type="gramEnd"/>
      <w:r w:rsidR="004A178B"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многоквартирных домах</w:t>
      </w:r>
      <w:r w:rsidR="00142D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A178B"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FB0096" w:rsidRPr="00FB0096" w:rsidRDefault="00FB0096" w:rsidP="00FB009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8B" w:rsidRPr="004A178B" w:rsidRDefault="004A178B" w:rsidP="00BE7563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E14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 w:rsidRPr="004A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4A178B" w:rsidRPr="004A178B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8B" w:rsidRPr="004A178B" w:rsidRDefault="004A178B" w:rsidP="004A178B">
      <w:pPr>
        <w:widowControl w:val="0"/>
        <w:autoSpaceDE w:val="0"/>
        <w:autoSpaceDN w:val="0"/>
        <w:adjustRightInd w:val="0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8B" w:rsidRPr="004A178B" w:rsidRDefault="004A178B" w:rsidP="004A1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                                    </w:t>
      </w:r>
      <w:r w:rsidR="00142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C3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 w:rsidR="00C3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C3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A178B" w:rsidRPr="004A178B" w:rsidRDefault="004A178B" w:rsidP="004A1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Совета депутатов                                   </w:t>
      </w:r>
      <w:r w:rsidR="00142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Хатанга</w:t>
      </w:r>
    </w:p>
    <w:p w:rsidR="004A178B" w:rsidRPr="004A178B" w:rsidRDefault="004A178B" w:rsidP="004A1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78B" w:rsidRPr="004A178B" w:rsidRDefault="004A178B" w:rsidP="004A1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97C" w:rsidRDefault="00905346" w:rsidP="00FB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4A178B"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М.Ю. </w:t>
      </w:r>
      <w:proofErr w:type="spellStart"/>
      <w:r w:rsidR="004A178B"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Чарду</w:t>
      </w:r>
      <w:proofErr w:type="spellEnd"/>
      <w:r w:rsidR="004A178B"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142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4A178B" w:rsidRPr="004A1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C3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3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А.И. </w:t>
      </w:r>
      <w:proofErr w:type="spellStart"/>
      <w:r w:rsidR="00C36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Бетту</w:t>
      </w:r>
      <w:proofErr w:type="spellEnd"/>
    </w:p>
    <w:p w:rsidR="00905346" w:rsidRDefault="00905346" w:rsidP="004D197C">
      <w:pPr>
        <w:autoSpaceDE w:val="0"/>
        <w:autoSpaceDN w:val="0"/>
        <w:adjustRightInd w:val="0"/>
        <w:spacing w:before="180" w:after="0" w:line="2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2EB" w:rsidRDefault="005E72EB" w:rsidP="004A178B">
      <w:pPr>
        <w:autoSpaceDE w:val="0"/>
        <w:autoSpaceDN w:val="0"/>
        <w:adjustRightInd w:val="0"/>
        <w:spacing w:before="180" w:after="0" w:line="28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CFE8E" wp14:editId="328E6EC5">
                <wp:simplePos x="0" y="0"/>
                <wp:positionH relativeFrom="column">
                  <wp:posOffset>3658235</wp:posOffset>
                </wp:positionH>
                <wp:positionV relativeFrom="paragraph">
                  <wp:posOffset>-275590</wp:posOffset>
                </wp:positionV>
                <wp:extent cx="2615565" cy="65151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72EB" w:rsidRPr="005E72EB" w:rsidRDefault="004A18DE" w:rsidP="004A18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5E72EB" w:rsidRPr="005E72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Приложение</w:t>
                            </w:r>
                            <w:r w:rsidR="004D6C4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5E72EB" w:rsidRPr="005E72EB" w:rsidRDefault="005E72EB" w:rsidP="005E72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E72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к Решению Хатангского сельского Совета депутатов от </w:t>
                            </w:r>
                            <w:r w:rsidR="004A18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22 сентября</w:t>
                            </w:r>
                            <w:r w:rsidR="004A18DE" w:rsidRPr="005E72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2017</w:t>
                            </w:r>
                            <w:r w:rsidRPr="005E72E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г.  №</w:t>
                            </w:r>
                            <w:r w:rsidR="004A18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46-РС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0CFE8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8.05pt;margin-top:-21.7pt;width:205.9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" filled="f" stroked="f" strokeweight=".5pt">
                <v:textbox>
                  <w:txbxContent>
                    <w:p w:rsidR="005E72EB" w:rsidRPr="005E72EB" w:rsidRDefault="004A18DE" w:rsidP="004A18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5E72EB" w:rsidRPr="005E72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Приложение</w:t>
                      </w:r>
                      <w:r w:rsidR="004D6C4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</w:t>
                      </w:r>
                    </w:p>
                    <w:p w:rsidR="005E72EB" w:rsidRPr="005E72EB" w:rsidRDefault="005E72EB" w:rsidP="005E72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E72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к Решению Хатангского сельского Совета депутатов от </w:t>
                      </w:r>
                      <w:r w:rsidR="004A18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22 сентября</w:t>
                      </w:r>
                      <w:r w:rsidR="004A18DE" w:rsidRPr="005E72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2017</w:t>
                      </w:r>
                      <w:r w:rsidRPr="005E72E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г.  №</w:t>
                      </w:r>
                      <w:r w:rsidR="004A18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46-РС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72EB" w:rsidRDefault="005E72EB" w:rsidP="005E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Par41"/>
      <w:bookmarkEnd w:id="0"/>
    </w:p>
    <w:p w:rsidR="005E72EB" w:rsidRDefault="00ED1D1C" w:rsidP="005E7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Соглашение о</w:t>
      </w:r>
      <w:r w:rsidR="005E72EB" w:rsidRPr="005E72EB">
        <w:rPr>
          <w:rFonts w:ascii="Times New Roman" w:hAnsi="Times New Roman"/>
          <w:b/>
          <w:sz w:val="24"/>
          <w:szCs w:val="24"/>
        </w:rPr>
        <w:t xml:space="preserve"> передаче полномочия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содержания муниципального жилищного фонда в части утверждения краткосрочного </w:t>
      </w:r>
      <w:proofErr w:type="gramStart"/>
      <w:r w:rsidR="005E72EB" w:rsidRPr="005E72EB">
        <w:rPr>
          <w:rFonts w:ascii="Times New Roman" w:hAnsi="Times New Roman"/>
          <w:b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5E72EB" w:rsidRPr="005E72EB">
        <w:rPr>
          <w:rFonts w:ascii="Times New Roman" w:hAnsi="Times New Roman"/>
          <w:b/>
          <w:sz w:val="24"/>
          <w:szCs w:val="24"/>
        </w:rPr>
        <w:t xml:space="preserve"> в многоквартирных домах</w:t>
      </w:r>
    </w:p>
    <w:p w:rsidR="005E72EB" w:rsidRDefault="005E72EB" w:rsidP="005E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2EB" w:rsidRPr="00CB5FEC" w:rsidRDefault="005E72EB" w:rsidP="005E72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Сельское поселение Хатанга, в лице Главы сельского поселения Хатанга Кулешова Александра Валерьевича действующего на </w:t>
      </w:r>
      <w:r w:rsidRPr="00CB5FEC">
        <w:rPr>
          <w:rFonts w:ascii="Times New Roman" w:hAnsi="Times New Roman"/>
          <w:sz w:val="24"/>
          <w:szCs w:val="24"/>
        </w:rPr>
        <w:t xml:space="preserve">основании </w:t>
      </w:r>
      <w:hyperlink r:id="rId9" w:history="1">
        <w:r w:rsidRPr="00CB5FEC">
          <w:rPr>
            <w:rStyle w:val="a6"/>
            <w:color w:val="auto"/>
            <w:sz w:val="24"/>
            <w:szCs w:val="24"/>
            <w:u w:val="none"/>
          </w:rPr>
          <w:t>Устава</w:t>
        </w:r>
      </w:hyperlink>
      <w:r w:rsidRPr="00CB5FEC">
        <w:rPr>
          <w:rFonts w:ascii="Times New Roman" w:hAnsi="Times New Roman"/>
          <w:sz w:val="24"/>
          <w:szCs w:val="24"/>
        </w:rPr>
        <w:t xml:space="preserve"> сельского поселения Хатанга, с одной стороны, и Таймырский Долгано-Ненецкий муниципальный район, в лице Главы Таймырского Долгано-Ненецкого муниципального района Ткаченко Сергея Александровича, действующего на основании </w:t>
      </w:r>
      <w:hyperlink r:id="rId10" w:history="1">
        <w:r w:rsidRPr="00CB5FEC">
          <w:rPr>
            <w:rStyle w:val="a6"/>
            <w:color w:val="auto"/>
            <w:sz w:val="24"/>
            <w:szCs w:val="24"/>
            <w:u w:val="none"/>
          </w:rPr>
          <w:t>Устава</w:t>
        </w:r>
      </w:hyperlink>
      <w:r w:rsidRPr="00CB5FEC">
        <w:rPr>
          <w:rFonts w:ascii="Times New Roman" w:hAnsi="Times New Roman"/>
          <w:sz w:val="24"/>
          <w:szCs w:val="24"/>
        </w:rPr>
        <w:t xml:space="preserve"> Таймырского Долгано-Ненецкого муниципального района, с другой с</w:t>
      </w:r>
      <w:r w:rsidR="00ED1D1C">
        <w:rPr>
          <w:rFonts w:ascii="Times New Roman" w:hAnsi="Times New Roman"/>
          <w:sz w:val="24"/>
          <w:szCs w:val="24"/>
        </w:rPr>
        <w:t>тороны, именуемые в дальнейшем «</w:t>
      </w:r>
      <w:r w:rsidRPr="00CB5FEC">
        <w:rPr>
          <w:rFonts w:ascii="Times New Roman" w:hAnsi="Times New Roman"/>
          <w:sz w:val="24"/>
          <w:szCs w:val="24"/>
        </w:rPr>
        <w:t>Стороны</w:t>
      </w:r>
      <w:r w:rsidR="00ED1D1C">
        <w:rPr>
          <w:rFonts w:ascii="Times New Roman" w:hAnsi="Times New Roman"/>
          <w:sz w:val="24"/>
          <w:szCs w:val="24"/>
        </w:rPr>
        <w:t>»</w:t>
      </w:r>
      <w:r w:rsidRPr="00CB5FEC">
        <w:rPr>
          <w:rFonts w:ascii="Times New Roman" w:hAnsi="Times New Roman"/>
          <w:sz w:val="24"/>
          <w:szCs w:val="24"/>
        </w:rPr>
        <w:t>, заключили настоящее Соглашение о нижеследующем.</w:t>
      </w:r>
      <w:proofErr w:type="gramEnd"/>
    </w:p>
    <w:p w:rsidR="005E72EB" w:rsidRDefault="005E72EB" w:rsidP="005E72E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E72EB" w:rsidRDefault="00ED1D1C" w:rsidP="005E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Предмет Соглашения</w:t>
      </w:r>
    </w:p>
    <w:p w:rsidR="005E72EB" w:rsidRDefault="005E72EB" w:rsidP="005E7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соответствии с настоящим Соглашением органы местного самоуправления сельского поселения Хатанга передают органам местного самоуправления Таймырского Долгано-Ненецкого муниципального района (далее – Муниципальный район) полномочие по  организации содержания муниципального жилищного фонда в части утверждения краткосрочных </w:t>
      </w:r>
      <w:proofErr w:type="gramStart"/>
      <w:r>
        <w:rPr>
          <w:rFonts w:ascii="Times New Roman" w:hAnsi="Times New Roman"/>
          <w:sz w:val="24"/>
          <w:szCs w:val="24"/>
        </w:rPr>
        <w:t>планов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 многоквартирных домах (далее - переданное полномочие).</w:t>
      </w:r>
    </w:p>
    <w:p w:rsidR="005E72EB" w:rsidRDefault="005E72EB" w:rsidP="005E72E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E72EB" w:rsidRDefault="00ED1D1C" w:rsidP="005E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Срок передачи полномочий</w:t>
      </w:r>
    </w:p>
    <w:p w:rsidR="005E72EB" w:rsidRDefault="005E72EB" w:rsidP="005E7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Полномочие органов местного самоуправления сельского поселения Хатанга, предусмотренное пунктом 1 настоящего Соглашения, </w:t>
      </w:r>
      <w:proofErr w:type="spellStart"/>
      <w:r>
        <w:rPr>
          <w:rFonts w:ascii="Times New Roman" w:hAnsi="Times New Roman"/>
          <w:sz w:val="24"/>
          <w:szCs w:val="24"/>
        </w:rPr>
        <w:t>передается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органам местного самоуправления</w:t>
      </w:r>
      <w:r w:rsidR="00DE45D9">
        <w:rPr>
          <w:rFonts w:ascii="Times New Roman" w:hAnsi="Times New Roman"/>
          <w:sz w:val="24"/>
          <w:szCs w:val="24"/>
        </w:rPr>
        <w:t xml:space="preserve"> Муниципального района на срок п</w:t>
      </w:r>
      <w:r>
        <w:rPr>
          <w:rFonts w:ascii="Times New Roman" w:hAnsi="Times New Roman"/>
          <w:sz w:val="24"/>
          <w:szCs w:val="24"/>
        </w:rPr>
        <w:t>о 31 декабря 2020 года.</w:t>
      </w:r>
    </w:p>
    <w:p w:rsidR="005E72EB" w:rsidRDefault="005E72EB" w:rsidP="005E72E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E72EB" w:rsidRDefault="00ED1D1C" w:rsidP="005E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Права и обязанности сторон</w:t>
      </w:r>
    </w:p>
    <w:p w:rsidR="005E72EB" w:rsidRDefault="005E72EB" w:rsidP="005E7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Муниципальный район самостоятельно организует деятельность по осуществлению переданного полномочия, в том числе:</w:t>
      </w:r>
    </w:p>
    <w:p w:rsidR="005E72EB" w:rsidRDefault="005E72EB" w:rsidP="005E7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утверждает краткосрочные планы реализации региональной программы капитального ремонта общего имущества в многоквартирных домах;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определяет орган мес</w:t>
      </w:r>
      <w:r w:rsidR="00ED1D1C">
        <w:rPr>
          <w:rFonts w:ascii="Times New Roman" w:hAnsi="Times New Roman"/>
          <w:sz w:val="24"/>
          <w:szCs w:val="24"/>
        </w:rPr>
        <w:t>тного самоуправления М</w:t>
      </w:r>
      <w:r>
        <w:rPr>
          <w:rFonts w:ascii="Times New Roman" w:hAnsi="Times New Roman"/>
          <w:sz w:val="24"/>
          <w:szCs w:val="24"/>
        </w:rPr>
        <w:t>униципального района, в ведении которого будет находиться переданное полномочие;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представляет сельскому поселению Хатанга документы и информацию о деятельности по реализации переданного полномочия;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случае, если возникают препятствия по исполнению переданного полномочия, уведомляет об этом сельское поселение Хатанга;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осуществляет иные действия, связанные с исполнением переданного полномочия, предусмотренные законодательством.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целях обеспечения исполнения Муниципальным районом переданного полномочия, сельское поселение Хатанга:</w:t>
      </w:r>
    </w:p>
    <w:p w:rsidR="005E72EB" w:rsidRDefault="005E72EB" w:rsidP="005E72EB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разрабатывает  проекты краткосрочных планов;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определяет  перечень многоквартирных домов, проведение капитального ремонта общего имущества в которых запланировано на очередной год реализации региональной программы;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 обследования и определение фактического технического состояния многоквартирных домов;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определяет перечень услуг и (или) работ по капитальному ремонту общего имущества в многоквартирном доме,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включенном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краткосрочный план, планируемую стоимость таких услуг и (или) работ;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запрашивает у Муниципального района документы, </w:t>
      </w:r>
      <w:proofErr w:type="spellStart"/>
      <w:r>
        <w:rPr>
          <w:rFonts w:ascii="Times New Roman" w:hAnsi="Times New Roman"/>
          <w:sz w:val="24"/>
          <w:szCs w:val="24"/>
        </w:rPr>
        <w:t>отчеты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иную информацию, связанную с исполнением переданного полномочия;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sz w:val="24"/>
          <w:szCs w:val="24"/>
        </w:rPr>
        <w:t>дает</w:t>
      </w:r>
      <w:proofErr w:type="spellEnd"/>
      <w:r>
        <w:rPr>
          <w:rFonts w:ascii="Times New Roman" w:hAnsi="Times New Roman"/>
          <w:sz w:val="24"/>
          <w:szCs w:val="24"/>
        </w:rPr>
        <w:t xml:space="preserve"> письменные предписания по устранению выявленных нарушений требований законодательства по вопросам осуществления переданного полномочия, обязательных для исполнения Муниципальным районом;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вносит предложения по совершенствованию деятельности Муниципального района по исполнению переданного полномочия;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переданного полномочия;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рассматривает обращения Муниципального района, связанные с исполнением переданного полномочия, в том числе о возникновении препятствий по исполнению переданного полномочия;</w:t>
      </w:r>
    </w:p>
    <w:p w:rsidR="005E72EB" w:rsidRDefault="005E72EB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оказывает методическую, организационную и иную помощь Муниципальному району в рамках исполнения переданного полномочия.</w:t>
      </w:r>
    </w:p>
    <w:p w:rsidR="005E72EB" w:rsidRDefault="005E72EB" w:rsidP="005E72EB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Финансовое и материально-техническое обеспечение</w:t>
      </w:r>
    </w:p>
    <w:p w:rsidR="005E72EB" w:rsidRDefault="005E72EB" w:rsidP="005E72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переданных полномочий</w:t>
      </w:r>
    </w:p>
    <w:p w:rsidR="005E72EB" w:rsidRDefault="005E72EB" w:rsidP="005E72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72EB" w:rsidRDefault="005331CA" w:rsidP="005E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E72EB">
        <w:rPr>
          <w:rFonts w:ascii="Times New Roman" w:hAnsi="Times New Roman"/>
          <w:sz w:val="24"/>
          <w:szCs w:val="24"/>
        </w:rPr>
        <w:t>. Для осуществления полномочия, переда</w:t>
      </w:r>
      <w:r w:rsidR="00ED1D1C">
        <w:rPr>
          <w:rFonts w:ascii="Times New Roman" w:hAnsi="Times New Roman"/>
          <w:sz w:val="24"/>
          <w:szCs w:val="24"/>
        </w:rPr>
        <w:t>ваемого настоящим Соглашением, М</w:t>
      </w:r>
      <w:r w:rsidR="005E72EB">
        <w:rPr>
          <w:rFonts w:ascii="Times New Roman" w:hAnsi="Times New Roman"/>
          <w:sz w:val="24"/>
          <w:szCs w:val="24"/>
        </w:rPr>
        <w:t>униципальному району передаются необходимые межбюджетные трансферты из бюджета</w:t>
      </w:r>
      <w:r w:rsidR="00ED1D1C">
        <w:rPr>
          <w:rFonts w:ascii="Times New Roman" w:hAnsi="Times New Roman"/>
          <w:sz w:val="24"/>
          <w:szCs w:val="24"/>
        </w:rPr>
        <w:t xml:space="preserve"> сельского</w:t>
      </w:r>
      <w:r w:rsidR="005E72EB">
        <w:rPr>
          <w:rFonts w:ascii="Times New Roman" w:hAnsi="Times New Roman"/>
          <w:sz w:val="24"/>
          <w:szCs w:val="24"/>
        </w:rPr>
        <w:t xml:space="preserve"> поселения</w:t>
      </w:r>
      <w:r w:rsidR="00ED1D1C">
        <w:rPr>
          <w:rFonts w:ascii="Times New Roman" w:hAnsi="Times New Roman"/>
          <w:sz w:val="24"/>
          <w:szCs w:val="24"/>
        </w:rPr>
        <w:t xml:space="preserve"> Хатанга</w:t>
      </w:r>
      <w:r w:rsidR="005E72EB">
        <w:rPr>
          <w:rFonts w:ascii="Times New Roman" w:hAnsi="Times New Roman"/>
          <w:sz w:val="24"/>
          <w:szCs w:val="24"/>
        </w:rPr>
        <w:t>.</w:t>
      </w:r>
    </w:p>
    <w:p w:rsidR="005E72EB" w:rsidRDefault="005331CA" w:rsidP="005E7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E72EB">
        <w:rPr>
          <w:rFonts w:ascii="Times New Roman" w:hAnsi="Times New Roman"/>
          <w:sz w:val="24"/>
          <w:szCs w:val="24"/>
        </w:rPr>
        <w:t xml:space="preserve">. Порядок </w:t>
      </w:r>
      <w:proofErr w:type="spellStart"/>
      <w:r w:rsidR="005E72EB">
        <w:rPr>
          <w:rFonts w:ascii="Times New Roman" w:hAnsi="Times New Roman"/>
          <w:sz w:val="24"/>
          <w:szCs w:val="24"/>
        </w:rPr>
        <w:t>расчета</w:t>
      </w:r>
      <w:proofErr w:type="spellEnd"/>
      <w:r w:rsidR="005E72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72EB">
        <w:rPr>
          <w:rFonts w:ascii="Times New Roman" w:hAnsi="Times New Roman"/>
          <w:sz w:val="24"/>
          <w:szCs w:val="24"/>
        </w:rPr>
        <w:t>объема</w:t>
      </w:r>
      <w:proofErr w:type="spellEnd"/>
      <w:r w:rsidR="005E72EB">
        <w:rPr>
          <w:rFonts w:ascii="Times New Roman" w:hAnsi="Times New Roman"/>
          <w:sz w:val="24"/>
          <w:szCs w:val="24"/>
        </w:rPr>
        <w:t xml:space="preserve"> межбюджетных трансфертов, предоставляемых в районный бюджет из бюджета</w:t>
      </w:r>
      <w:r w:rsidR="00231BFD">
        <w:rPr>
          <w:rFonts w:ascii="Times New Roman" w:hAnsi="Times New Roman"/>
          <w:sz w:val="24"/>
          <w:szCs w:val="24"/>
        </w:rPr>
        <w:t xml:space="preserve"> сельского</w:t>
      </w:r>
      <w:r w:rsidR="005E72EB">
        <w:rPr>
          <w:rFonts w:ascii="Times New Roman" w:hAnsi="Times New Roman"/>
          <w:sz w:val="24"/>
          <w:szCs w:val="24"/>
        </w:rPr>
        <w:t xml:space="preserve"> поселения</w:t>
      </w:r>
      <w:r w:rsidR="00231BFD">
        <w:rPr>
          <w:rFonts w:ascii="Times New Roman" w:hAnsi="Times New Roman"/>
          <w:sz w:val="24"/>
          <w:szCs w:val="24"/>
        </w:rPr>
        <w:t xml:space="preserve"> Хатанга</w:t>
      </w:r>
      <w:r w:rsidR="005E72EB">
        <w:rPr>
          <w:rFonts w:ascii="Times New Roman" w:hAnsi="Times New Roman"/>
          <w:sz w:val="24"/>
          <w:szCs w:val="24"/>
        </w:rPr>
        <w:t xml:space="preserve"> на осуществление переданного полномочия, устанавливается приложением к настоящему Соглашению.</w:t>
      </w:r>
    </w:p>
    <w:p w:rsidR="005E72EB" w:rsidRDefault="005331CA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E72EB">
        <w:rPr>
          <w:rFonts w:ascii="Times New Roman" w:hAnsi="Times New Roman" w:cs="Times New Roman"/>
          <w:sz w:val="24"/>
          <w:szCs w:val="24"/>
        </w:rPr>
        <w:t>. Средства на реализацию передаваемого полномочия носят целевой характер и не могут быть использованы на другие цели.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5E72EB" w:rsidRDefault="005E72EB" w:rsidP="005E72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72EB" w:rsidRPr="00BD7EBF" w:rsidRDefault="005331CA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E72EB">
        <w:rPr>
          <w:rFonts w:ascii="Times New Roman" w:hAnsi="Times New Roman" w:cs="Times New Roman"/>
          <w:sz w:val="24"/>
          <w:szCs w:val="24"/>
        </w:rPr>
        <w:t xml:space="preserve">. </w:t>
      </w:r>
      <w:r w:rsidR="00ED1D1C">
        <w:rPr>
          <w:rFonts w:ascii="Times New Roman" w:hAnsi="Times New Roman" w:cs="Times New Roman"/>
          <w:sz w:val="24"/>
          <w:szCs w:val="24"/>
        </w:rPr>
        <w:t>Органы местного самоуправления М</w:t>
      </w:r>
      <w:r w:rsidR="005E72EB">
        <w:rPr>
          <w:rFonts w:ascii="Times New Roman" w:hAnsi="Times New Roman" w:cs="Times New Roman"/>
          <w:sz w:val="24"/>
          <w:szCs w:val="24"/>
        </w:rPr>
        <w:t xml:space="preserve">униципального района несут ответственность за осуществление переданного полномочия в соответствии с </w:t>
      </w:r>
      <w:hyperlink r:id="rId11" w:history="1">
        <w:r w:rsidR="005E72EB" w:rsidRPr="00BD7EBF">
          <w:rPr>
            <w:rStyle w:val="a6"/>
            <w:color w:val="auto"/>
            <w:sz w:val="24"/>
            <w:szCs w:val="24"/>
            <w:u w:val="none"/>
          </w:rPr>
          <w:t>законодательством</w:t>
        </w:r>
      </w:hyperlink>
      <w:r w:rsidR="005E72EB" w:rsidRPr="00BD7EBF">
        <w:rPr>
          <w:rFonts w:ascii="Times New Roman" w:hAnsi="Times New Roman" w:cs="Times New Roman"/>
          <w:sz w:val="24"/>
          <w:szCs w:val="24"/>
        </w:rPr>
        <w:t>.</w:t>
      </w:r>
    </w:p>
    <w:p w:rsidR="005E72EB" w:rsidRDefault="005331CA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45474">
        <w:rPr>
          <w:rFonts w:ascii="Times New Roman" w:hAnsi="Times New Roman" w:cs="Times New Roman"/>
          <w:sz w:val="24"/>
          <w:szCs w:val="24"/>
        </w:rPr>
        <w:t>.</w:t>
      </w:r>
      <w:r w:rsidR="005E72EB">
        <w:rPr>
          <w:rFonts w:ascii="Times New Roman" w:hAnsi="Times New Roman" w:cs="Times New Roman"/>
          <w:sz w:val="24"/>
          <w:szCs w:val="24"/>
        </w:rPr>
        <w:t xml:space="preserve"> В случае неисполнения органами местного самоуправления</w:t>
      </w:r>
      <w:r w:rsidR="00ED1D1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E72E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D1D1C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5E72EB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органами местного самоуправления </w:t>
      </w:r>
      <w:r w:rsidR="00ED1D1C">
        <w:rPr>
          <w:rFonts w:ascii="Times New Roman" w:hAnsi="Times New Roman" w:cs="Times New Roman"/>
          <w:sz w:val="24"/>
          <w:szCs w:val="24"/>
        </w:rPr>
        <w:t>М</w:t>
      </w:r>
      <w:r w:rsidR="005E72EB">
        <w:rPr>
          <w:rFonts w:ascii="Times New Roman" w:hAnsi="Times New Roman" w:cs="Times New Roman"/>
          <w:sz w:val="24"/>
          <w:szCs w:val="24"/>
        </w:rPr>
        <w:t xml:space="preserve">униципального района переданного полномочия, органы местного самоуправления </w:t>
      </w:r>
      <w:r w:rsidR="00ED1D1C">
        <w:rPr>
          <w:rFonts w:ascii="Times New Roman" w:hAnsi="Times New Roman" w:cs="Times New Roman"/>
          <w:sz w:val="24"/>
          <w:szCs w:val="24"/>
        </w:rPr>
        <w:t>М</w:t>
      </w:r>
      <w:r w:rsidR="005E72EB">
        <w:rPr>
          <w:rFonts w:ascii="Times New Roman" w:hAnsi="Times New Roman" w:cs="Times New Roman"/>
          <w:sz w:val="24"/>
          <w:szCs w:val="24"/>
        </w:rPr>
        <w:t>униципального района вправе требовать уплаты штрафа в размере 0,01% от суммы не перечисленных межбюджетных трансфертов за каждый день задержки финансирования.</w:t>
      </w:r>
    </w:p>
    <w:p w:rsidR="005E72EB" w:rsidRDefault="005331CA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E72EB">
        <w:rPr>
          <w:rFonts w:ascii="Times New Roman" w:hAnsi="Times New Roman" w:cs="Times New Roman"/>
          <w:sz w:val="24"/>
          <w:szCs w:val="24"/>
        </w:rPr>
        <w:t xml:space="preserve">. </w:t>
      </w:r>
      <w:r w:rsidR="00ED1D1C">
        <w:rPr>
          <w:rFonts w:ascii="Times New Roman" w:hAnsi="Times New Roman" w:cs="Times New Roman"/>
          <w:sz w:val="24"/>
          <w:szCs w:val="24"/>
        </w:rPr>
        <w:t>Органы местного самоуправления М</w:t>
      </w:r>
      <w:r w:rsidR="005E72EB">
        <w:rPr>
          <w:rFonts w:ascii="Times New Roman" w:hAnsi="Times New Roman" w:cs="Times New Roman"/>
          <w:sz w:val="24"/>
          <w:szCs w:val="24"/>
        </w:rPr>
        <w:t xml:space="preserve">униципального района освобождаются от ответственности, если неисполнение или ненадлежащее исполнение обязательств по настоящему Соглашению связано с </w:t>
      </w:r>
      <w:r w:rsidR="00DE45D9">
        <w:rPr>
          <w:rFonts w:ascii="Times New Roman" w:hAnsi="Times New Roman" w:cs="Times New Roman"/>
          <w:sz w:val="24"/>
          <w:szCs w:val="24"/>
        </w:rPr>
        <w:t>препятствиями</w:t>
      </w:r>
      <w:r w:rsidR="005E72EB">
        <w:rPr>
          <w:rFonts w:ascii="Times New Roman" w:hAnsi="Times New Roman" w:cs="Times New Roman"/>
          <w:sz w:val="24"/>
          <w:szCs w:val="24"/>
        </w:rPr>
        <w:t>, возникшими не по их вине.</w:t>
      </w:r>
    </w:p>
    <w:p w:rsidR="005E72EB" w:rsidRDefault="005E72EB" w:rsidP="005E7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2EB" w:rsidRDefault="00ED1D1C" w:rsidP="005E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VI. Порядок разрешения споров</w:t>
      </w:r>
    </w:p>
    <w:p w:rsidR="005E72EB" w:rsidRDefault="005E72EB" w:rsidP="005E7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EB" w:rsidRDefault="005331CA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E72EB">
        <w:rPr>
          <w:rFonts w:ascii="Times New Roman" w:hAnsi="Times New Roman"/>
          <w:sz w:val="24"/>
          <w:szCs w:val="24"/>
        </w:rPr>
        <w:t xml:space="preserve">. Споры, связанные с исполнением настоящего Соглашения, разрешаются </w:t>
      </w:r>
      <w:proofErr w:type="spellStart"/>
      <w:r w:rsidR="005E72EB">
        <w:rPr>
          <w:rFonts w:ascii="Times New Roman" w:hAnsi="Times New Roman"/>
          <w:sz w:val="24"/>
          <w:szCs w:val="24"/>
        </w:rPr>
        <w:t>путем</w:t>
      </w:r>
      <w:proofErr w:type="spellEnd"/>
      <w:r w:rsidR="005E72EB">
        <w:rPr>
          <w:rFonts w:ascii="Times New Roman" w:hAnsi="Times New Roman"/>
          <w:sz w:val="24"/>
          <w:szCs w:val="24"/>
        </w:rPr>
        <w:t xml:space="preserve"> проведения переговоров и иных согласительных процедур.</w:t>
      </w:r>
    </w:p>
    <w:p w:rsidR="005E72EB" w:rsidRDefault="005331CA" w:rsidP="005E72E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</w:t>
      </w:r>
      <w:r w:rsidR="005E72EB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="005E72EB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5E72EB">
        <w:rPr>
          <w:rFonts w:ascii="Times New Roman" w:hAnsi="Times New Roman"/>
          <w:sz w:val="24"/>
          <w:szCs w:val="24"/>
        </w:rPr>
        <w:t xml:space="preserve"> соглашения спор подлежит разрешению в соответствии с действующим законодательством.</w:t>
      </w:r>
    </w:p>
    <w:p w:rsidR="005E72EB" w:rsidRDefault="005E72EB" w:rsidP="005E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2EB" w:rsidRDefault="00ED1D1C" w:rsidP="005E7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5E72EB" w:rsidRDefault="005E72EB" w:rsidP="005E7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EB" w:rsidRDefault="005331CA" w:rsidP="005E72E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5E72EB">
        <w:rPr>
          <w:rFonts w:ascii="Times New Roman" w:hAnsi="Times New Roman"/>
          <w:sz w:val="24"/>
          <w:szCs w:val="24"/>
        </w:rPr>
        <w:t>. Настоящее Соглашение вступает в силу с момента подписания и действует до полного исполнения Сторонами обязательств, предусмотренных настоящим Соглашением.</w:t>
      </w:r>
    </w:p>
    <w:p w:rsidR="005E72EB" w:rsidRDefault="005331CA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  <w:r>
        <w:rPr>
          <w:rFonts w:ascii="Times New Roman" w:hAnsi="Times New Roman" w:cs="Times New Roman"/>
          <w:sz w:val="24"/>
          <w:szCs w:val="24"/>
        </w:rPr>
        <w:t>14</w:t>
      </w:r>
      <w:r w:rsidR="005E72EB">
        <w:rPr>
          <w:rFonts w:ascii="Times New Roman" w:hAnsi="Times New Roman" w:cs="Times New Roman"/>
          <w:sz w:val="24"/>
          <w:szCs w:val="24"/>
        </w:rPr>
        <w:t>. Настоящее Соглашение может быть расторгнуто досрочно по соглашению Сторон. Каждая из Сторон вправе в одностороннем порядке без обращения в суд отказаться от исполнения Соглашения в случаях: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изменения законодательства Российской Федерации, Красноярского края, препятствующего дальнейшей реализации Соглашения;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существенного или неоднократного неисполнения или ненадлежащего исполнения одной из Сторон своих обязанностей по настоящему Соглашению;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невозможности выполнения обязанностей по Соглашению, возникшей по независящим от Сторон причинам.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31C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Уведомление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 отказе от исполнения настоящего Соглашения в одностороннем порядке в соответствии с </w:t>
      </w:r>
      <w:hyperlink r:id="rId12" w:anchor="P97" w:history="1">
        <w:r w:rsidRPr="005331CA">
          <w:rPr>
            <w:rStyle w:val="a6"/>
            <w:color w:val="auto"/>
            <w:sz w:val="24"/>
            <w:szCs w:val="24"/>
            <w:u w:val="none"/>
          </w:rPr>
          <w:t>пунктом</w:t>
        </w:r>
        <w:proofErr w:type="gramEnd"/>
        <w:r w:rsidRPr="005331CA">
          <w:rPr>
            <w:rStyle w:val="a6"/>
            <w:color w:val="auto"/>
            <w:sz w:val="24"/>
            <w:szCs w:val="24"/>
            <w:u w:val="none"/>
          </w:rPr>
          <w:t xml:space="preserve"> 1</w:t>
        </w:r>
      </w:hyperlink>
      <w:r w:rsidR="000958C7">
        <w:rPr>
          <w:rStyle w:val="a6"/>
          <w:color w:val="auto"/>
          <w:sz w:val="24"/>
          <w:szCs w:val="24"/>
          <w:u w:val="non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настоящего Соглашения должно быть направлено другой Стороне не позднее, чем за один месяц до даты отказа от исполнения, при этом другой Стороне возмещаются все убытки, связанные с досрочным прекращением Соглашения.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31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Настоящее Соглашение подлежит утверждению представительными</w:t>
      </w:r>
      <w:r w:rsidR="00ED1D1C">
        <w:rPr>
          <w:rFonts w:ascii="Times New Roman" w:hAnsi="Times New Roman" w:cs="Times New Roman"/>
          <w:sz w:val="24"/>
          <w:szCs w:val="24"/>
        </w:rPr>
        <w:t xml:space="preserve"> органами и подписанию Главами М</w:t>
      </w:r>
      <w:r>
        <w:rPr>
          <w:rFonts w:ascii="Times New Roman" w:hAnsi="Times New Roman" w:cs="Times New Roman"/>
          <w:sz w:val="24"/>
          <w:szCs w:val="24"/>
        </w:rPr>
        <w:t>униципального района и</w:t>
      </w:r>
      <w:r w:rsidR="00ED1D1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D1D1C">
        <w:rPr>
          <w:rFonts w:ascii="Times New Roman" w:hAnsi="Times New Roman" w:cs="Times New Roman"/>
          <w:sz w:val="24"/>
          <w:szCs w:val="24"/>
        </w:rPr>
        <w:t xml:space="preserve"> Хатанга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31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Изменения настоящего Соглашения оформляются в письменном виде и становятся его неотъемлемой частью с момента их утверждения представительными органами.</w:t>
      </w:r>
    </w:p>
    <w:p w:rsidR="005E72EB" w:rsidRDefault="005331CA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E72EB">
        <w:rPr>
          <w:rFonts w:ascii="Times New Roman" w:hAnsi="Times New Roman" w:cs="Times New Roman"/>
          <w:sz w:val="24"/>
          <w:szCs w:val="24"/>
        </w:rPr>
        <w:t xml:space="preserve">. Настоящее Соглашение по </w:t>
      </w:r>
      <w:proofErr w:type="spellStart"/>
      <w:r w:rsidR="005E72EB">
        <w:rPr>
          <w:rFonts w:ascii="Times New Roman" w:hAnsi="Times New Roman" w:cs="Times New Roman"/>
          <w:sz w:val="24"/>
          <w:szCs w:val="24"/>
        </w:rPr>
        <w:t>договоренности</w:t>
      </w:r>
      <w:proofErr w:type="spellEnd"/>
      <w:r w:rsidR="005E72EB">
        <w:rPr>
          <w:rFonts w:ascii="Times New Roman" w:hAnsi="Times New Roman" w:cs="Times New Roman"/>
          <w:sz w:val="24"/>
          <w:szCs w:val="24"/>
        </w:rPr>
        <w:t xml:space="preserve"> Сторон может пролонгироваться на очередной финансовый год.</w:t>
      </w: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331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Настоящее Соглашение составлено в двух подлинных экземплярах, имеющих одинаковую юридическую силу, по одному для каждой из Сторон.</w:t>
      </w:r>
    </w:p>
    <w:p w:rsidR="005E72EB" w:rsidRDefault="005E72EB" w:rsidP="005E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98"/>
        <w:gridCol w:w="4247"/>
      </w:tblGrid>
      <w:tr w:rsidR="00ED1D1C" w:rsidTr="00DA1330">
        <w:tc>
          <w:tcPr>
            <w:tcW w:w="5098" w:type="dxa"/>
          </w:tcPr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Таймырского Долгано-Ненецкого   муниципального района</w:t>
            </w:r>
          </w:p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________________С.А. Ткаченко</w:t>
            </w:r>
          </w:p>
        </w:tc>
        <w:tc>
          <w:tcPr>
            <w:tcW w:w="4247" w:type="dxa"/>
          </w:tcPr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Хатанга</w:t>
            </w:r>
          </w:p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D1D1C" w:rsidRDefault="00ED1D1C" w:rsidP="00ED1D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_________________А.В. Кулешов</w:t>
            </w:r>
          </w:p>
        </w:tc>
      </w:tr>
    </w:tbl>
    <w:p w:rsidR="005E72EB" w:rsidRDefault="005E72EB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97C" w:rsidRDefault="004D197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97C" w:rsidRDefault="004D197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97C" w:rsidRDefault="004D197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197C" w:rsidRDefault="004D197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5B9" w:rsidRDefault="006715B9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5B9" w:rsidRDefault="006715B9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5B9" w:rsidRDefault="006715B9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5B9" w:rsidRDefault="006715B9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D1C" w:rsidRDefault="00ED1D1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D1C" w:rsidRDefault="00ED1D1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D1C" w:rsidRDefault="00ED1D1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D1C" w:rsidRDefault="00ED1D1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CE8D9" wp14:editId="48DD907E">
                <wp:simplePos x="0" y="0"/>
                <wp:positionH relativeFrom="column">
                  <wp:posOffset>2831465</wp:posOffset>
                </wp:positionH>
                <wp:positionV relativeFrom="paragraph">
                  <wp:posOffset>21590</wp:posOffset>
                </wp:positionV>
                <wp:extent cx="3242945" cy="164592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1D1C" w:rsidRDefault="005E72EB" w:rsidP="005E72EB">
                            <w:pPr>
                              <w:pStyle w:val="ConsPlusNormal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5E72EB" w:rsidRPr="005E72EB" w:rsidRDefault="005E72EB" w:rsidP="00ED1D1C">
                            <w:pPr>
                              <w:pStyle w:val="ConsPlusNormal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 Соглашению</w:t>
                            </w:r>
                            <w:r w:rsidR="00ED1D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о</w:t>
                            </w: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передаче полномочия органов местного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самоуправления сельского  поселения Хатанга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органам местного самоуправления Таймырского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Долгано-Ненецкого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по организации содержания муниципального жилищного фонда в части утверждения краткосрочных </w:t>
                            </w:r>
                            <w:proofErr w:type="gramStart"/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планов реализации региональной программы капитального ремонта общего имущества</w:t>
                            </w:r>
                            <w:proofErr w:type="gramEnd"/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2E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многоквартирных домах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DCE8D9" id="Поле 3" o:spid="_x0000_s1027" type="#_x0000_t202" style="position:absolute;left:0;text-align:left;margin-left:222.95pt;margin-top:1.7pt;width:255.35pt;height:1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" filled="f" stroked="f" strokeweight=".5pt">
                <v:textbox>
                  <w:txbxContent>
                    <w:p w:rsidR="00ED1D1C" w:rsidRDefault="005E72EB" w:rsidP="005E72EB">
                      <w:pPr>
                        <w:pStyle w:val="ConsPlusNormal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>Приложение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  <w:p w:rsidR="005E72EB" w:rsidRPr="005E72EB" w:rsidRDefault="005E72EB" w:rsidP="00ED1D1C">
                      <w:pPr>
                        <w:pStyle w:val="ConsPlusNormal"/>
                        <w:jc w:val="both"/>
                        <w:outlineLvl w:val="1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>к Соглашению</w:t>
                      </w:r>
                      <w:r w:rsidR="00ED1D1C">
                        <w:rPr>
                          <w:rFonts w:ascii="Times New Roman" w:hAnsi="Times New Roman" w:cs="Times New Roman"/>
                          <w:sz w:val="20"/>
                        </w:rPr>
                        <w:t xml:space="preserve"> о</w:t>
                      </w: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 xml:space="preserve"> передаче полномочия органов местного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>самоуправления сельского  поселения Хатанга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>органам местного самоуправления Таймырского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>Долгано-Ненецкого 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>по организации содержания муниципального жилищного фонда в части утверждения краткосрочных планов реализации региональной программы капитального ремонта общего имущества 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72EB">
                        <w:rPr>
                          <w:rFonts w:ascii="Times New Roman" w:hAnsi="Times New Roman" w:cs="Times New Roman"/>
                          <w:sz w:val="20"/>
                        </w:rPr>
                        <w:t>многоквартирных домах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D1C" w:rsidRDefault="00ED1D1C" w:rsidP="005E7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pStyle w:val="ConsPlusTitle"/>
        <w:jc w:val="center"/>
      </w:pPr>
      <w:bookmarkStart w:id="2" w:name="P126"/>
      <w:bookmarkEnd w:id="2"/>
    </w:p>
    <w:p w:rsidR="005E72EB" w:rsidRDefault="005E72EB" w:rsidP="005E72EB">
      <w:pPr>
        <w:pStyle w:val="ConsPlusTitle"/>
        <w:jc w:val="center"/>
      </w:pPr>
    </w:p>
    <w:p w:rsidR="005E72EB" w:rsidRDefault="005E72EB" w:rsidP="005E72EB">
      <w:pPr>
        <w:pStyle w:val="ConsPlusTitle"/>
      </w:pPr>
    </w:p>
    <w:p w:rsidR="00ED1D1C" w:rsidRDefault="00ED1D1C" w:rsidP="005E72EB">
      <w:pPr>
        <w:pStyle w:val="ConsPlusTitle"/>
      </w:pPr>
    </w:p>
    <w:p w:rsidR="005E72EB" w:rsidRDefault="005E72EB" w:rsidP="005E72EB">
      <w:pPr>
        <w:pStyle w:val="ConsPlusTitle"/>
        <w:jc w:val="center"/>
      </w:pPr>
      <w:r>
        <w:t>ПОРЯДОК</w:t>
      </w:r>
    </w:p>
    <w:p w:rsidR="005E72EB" w:rsidRDefault="005E72EB" w:rsidP="005E72EB">
      <w:pPr>
        <w:pStyle w:val="ConsPlusTitle"/>
        <w:jc w:val="center"/>
      </w:pPr>
      <w:r>
        <w:t>РАСЧЕТА ОБЪЕМА МЕЖБЮДЖЕТНЫХ ТРАНСФЕРТОВ, НЕОБХОДИМЫХ</w:t>
      </w:r>
    </w:p>
    <w:p w:rsidR="005E72EB" w:rsidRDefault="005E72EB" w:rsidP="005E72EB">
      <w:pPr>
        <w:pStyle w:val="ConsPlusTitle"/>
        <w:jc w:val="center"/>
      </w:pPr>
      <w:r>
        <w:t xml:space="preserve">ДЛЯ ОСУЩЕСТВЛЕНИЯ </w:t>
      </w:r>
      <w:proofErr w:type="gramStart"/>
      <w:r>
        <w:t>ТАЙМЫРСКИМ</w:t>
      </w:r>
      <w:proofErr w:type="gramEnd"/>
      <w:r>
        <w:t xml:space="preserve"> ДОЛГАНО-НЕНЕЦКИМ МУНИЦИПАЛЬНЫМ</w:t>
      </w:r>
    </w:p>
    <w:p w:rsidR="005E72EB" w:rsidRDefault="005E72EB" w:rsidP="005E7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РАЙОНОМ ПОЛНОМОЧИЯ ПО ОРГАНИЗАЦИИ СОДЕРЖАНИЯ МУНИЦИПАЛЬНОГО ЖИЛИЩНОГО ФОНДА В ЧАСТИ УТВЕРЖДЕНИЯ КРАТКОСРОЧНЫХ </w:t>
      </w:r>
      <w:proofErr w:type="gramStart"/>
      <w:r>
        <w:rPr>
          <w:rFonts w:ascii="Times New Roman" w:hAnsi="Times New Roman"/>
          <w:b/>
          <w:sz w:val="24"/>
          <w:szCs w:val="24"/>
        </w:rPr>
        <w:t>ПЛАНОВ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МНОГОКВАРТИРНЫХ ДОМАХ</w:t>
      </w:r>
    </w:p>
    <w:p w:rsidR="005E72EB" w:rsidRDefault="005E72EB" w:rsidP="005E7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72EB" w:rsidRDefault="005E72EB" w:rsidP="005E72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осуществления полномочия по организации содержания муниципального жилищного фонда в части утверждения краткосрочного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многоквартирных домах бюджету муниципального района из бюджета поселения предоставляются  межбюджетные трансферты, общий объем которых рассчитывается по формуле:</w:t>
      </w:r>
    </w:p>
    <w:p w:rsidR="005E72EB" w:rsidRDefault="005E72EB" w:rsidP="005E7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2EB" w:rsidRDefault="005E72EB" w:rsidP="005E72E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>,  где</w:t>
      </w:r>
      <w:proofErr w:type="gramEnd"/>
    </w:p>
    <w:p w:rsidR="005E72EB" w:rsidRDefault="005E72EB" w:rsidP="005E72E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межбюджетных трансфертов, предоставляемых бюджету района, в части обеспечения деятельности органов местного самоуправления, осуществляющих реализацию переданного полномочия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E72EB" w:rsidRDefault="005E72EB" w:rsidP="005E72E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расходы  в</w:t>
      </w:r>
      <w:proofErr w:type="gramEnd"/>
      <w:r>
        <w:rPr>
          <w:rFonts w:ascii="Times New Roman" w:hAnsi="Times New Roman"/>
          <w:sz w:val="24"/>
          <w:szCs w:val="24"/>
        </w:rPr>
        <w:t xml:space="preserve"> части информационно-технического обеспечения для осуществления переданного полномочия;</w:t>
      </w:r>
    </w:p>
    <w:p w:rsidR="005E72EB" w:rsidRDefault="005E72EB" w:rsidP="005E72E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>
        <w:rPr>
          <w:rFonts w:ascii="Times New Roman" w:hAnsi="Times New Roman"/>
          <w:sz w:val="24"/>
          <w:szCs w:val="24"/>
        </w:rPr>
        <w:t xml:space="preserve"> - расходы  в части административно-хозяйственного обеспечения для осуществления переданного полномочия.</w:t>
      </w:r>
    </w:p>
    <w:p w:rsidR="006C5657" w:rsidRDefault="006C5657" w:rsidP="005E72EB">
      <w:pPr>
        <w:jc w:val="both"/>
        <w:rPr>
          <w:rFonts w:ascii="Times New Roman" w:hAnsi="Times New Roman"/>
          <w:sz w:val="24"/>
          <w:szCs w:val="24"/>
        </w:rPr>
      </w:pPr>
    </w:p>
    <w:p w:rsidR="006C5657" w:rsidRDefault="006C5657" w:rsidP="005E72EB">
      <w:pPr>
        <w:jc w:val="both"/>
        <w:rPr>
          <w:rFonts w:ascii="Times New Roman" w:hAnsi="Times New Roman"/>
          <w:sz w:val="24"/>
          <w:szCs w:val="24"/>
        </w:rPr>
      </w:pPr>
    </w:p>
    <w:p w:rsidR="006C5657" w:rsidRDefault="006C5657" w:rsidP="005E72EB">
      <w:pPr>
        <w:jc w:val="both"/>
        <w:rPr>
          <w:rFonts w:ascii="Times New Roman" w:hAnsi="Times New Roman"/>
          <w:sz w:val="24"/>
          <w:szCs w:val="24"/>
        </w:rPr>
      </w:pPr>
    </w:p>
    <w:p w:rsidR="004D197C" w:rsidRDefault="004D197C" w:rsidP="005E72EB">
      <w:pPr>
        <w:jc w:val="both"/>
        <w:rPr>
          <w:rFonts w:ascii="Times New Roman" w:hAnsi="Times New Roman"/>
          <w:sz w:val="24"/>
          <w:szCs w:val="24"/>
        </w:rPr>
      </w:pPr>
    </w:p>
    <w:p w:rsidR="004D197C" w:rsidRDefault="004D197C" w:rsidP="005E72EB">
      <w:pPr>
        <w:jc w:val="both"/>
        <w:rPr>
          <w:rFonts w:ascii="Times New Roman" w:hAnsi="Times New Roman"/>
          <w:sz w:val="24"/>
          <w:szCs w:val="24"/>
        </w:rPr>
      </w:pPr>
    </w:p>
    <w:p w:rsidR="004D197C" w:rsidRDefault="004D197C" w:rsidP="005E72EB">
      <w:pPr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4D197C" w:rsidSect="00FB0096">
      <w:head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F9" w:rsidRDefault="004E48F9" w:rsidP="00905346">
      <w:pPr>
        <w:spacing w:after="0" w:line="240" w:lineRule="auto"/>
      </w:pPr>
      <w:r>
        <w:separator/>
      </w:r>
    </w:p>
  </w:endnote>
  <w:endnote w:type="continuationSeparator" w:id="0">
    <w:p w:rsidR="004E48F9" w:rsidRDefault="004E48F9" w:rsidP="0090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F9" w:rsidRDefault="004E48F9" w:rsidP="00905346">
      <w:pPr>
        <w:spacing w:after="0" w:line="240" w:lineRule="auto"/>
      </w:pPr>
      <w:r>
        <w:separator/>
      </w:r>
    </w:p>
  </w:footnote>
  <w:footnote w:type="continuationSeparator" w:id="0">
    <w:p w:rsidR="004E48F9" w:rsidRDefault="004E48F9" w:rsidP="0090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975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05346" w:rsidRPr="00905346" w:rsidRDefault="00905346">
        <w:pPr>
          <w:pStyle w:val="a8"/>
          <w:jc w:val="right"/>
          <w:rPr>
            <w:rFonts w:ascii="Times New Roman" w:hAnsi="Times New Roman" w:cs="Times New Roman"/>
          </w:rPr>
        </w:pPr>
        <w:r w:rsidRPr="00905346">
          <w:rPr>
            <w:rFonts w:ascii="Times New Roman" w:hAnsi="Times New Roman" w:cs="Times New Roman"/>
          </w:rPr>
          <w:fldChar w:fldCharType="begin"/>
        </w:r>
        <w:r w:rsidRPr="00905346">
          <w:rPr>
            <w:rFonts w:ascii="Times New Roman" w:hAnsi="Times New Roman" w:cs="Times New Roman"/>
          </w:rPr>
          <w:instrText>PAGE   \* MERGEFORMAT</w:instrText>
        </w:r>
        <w:r w:rsidRPr="00905346">
          <w:rPr>
            <w:rFonts w:ascii="Times New Roman" w:hAnsi="Times New Roman" w:cs="Times New Roman"/>
          </w:rPr>
          <w:fldChar w:fldCharType="separate"/>
        </w:r>
        <w:r w:rsidR="00AB6B33">
          <w:rPr>
            <w:rFonts w:ascii="Times New Roman" w:hAnsi="Times New Roman" w:cs="Times New Roman"/>
            <w:noProof/>
          </w:rPr>
          <w:t>5</w:t>
        </w:r>
        <w:r w:rsidRPr="00905346">
          <w:rPr>
            <w:rFonts w:ascii="Times New Roman" w:hAnsi="Times New Roman" w:cs="Times New Roman"/>
          </w:rPr>
          <w:fldChar w:fldCharType="end"/>
        </w:r>
      </w:p>
    </w:sdtContent>
  </w:sdt>
  <w:p w:rsidR="00905346" w:rsidRDefault="009053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76E3"/>
    <w:multiLevelType w:val="hybridMultilevel"/>
    <w:tmpl w:val="8A485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8B"/>
    <w:rsid w:val="000958C7"/>
    <w:rsid w:val="000A3A01"/>
    <w:rsid w:val="00112113"/>
    <w:rsid w:val="00142DFD"/>
    <w:rsid w:val="001C7DAE"/>
    <w:rsid w:val="00207A54"/>
    <w:rsid w:val="00231BFD"/>
    <w:rsid w:val="0024308A"/>
    <w:rsid w:val="00273915"/>
    <w:rsid w:val="0043254D"/>
    <w:rsid w:val="004A178B"/>
    <w:rsid w:val="004A18DE"/>
    <w:rsid w:val="004D197C"/>
    <w:rsid w:val="004D6C4C"/>
    <w:rsid w:val="004E48F9"/>
    <w:rsid w:val="005331CA"/>
    <w:rsid w:val="005E72EB"/>
    <w:rsid w:val="006715B9"/>
    <w:rsid w:val="006C0590"/>
    <w:rsid w:val="006C5657"/>
    <w:rsid w:val="00803AF8"/>
    <w:rsid w:val="00845474"/>
    <w:rsid w:val="008E46AF"/>
    <w:rsid w:val="008E7EAD"/>
    <w:rsid w:val="00905346"/>
    <w:rsid w:val="0097545A"/>
    <w:rsid w:val="009E4918"/>
    <w:rsid w:val="00AB6B33"/>
    <w:rsid w:val="00BD7EBF"/>
    <w:rsid w:val="00BE7563"/>
    <w:rsid w:val="00C36F37"/>
    <w:rsid w:val="00C510EB"/>
    <w:rsid w:val="00CA0A6C"/>
    <w:rsid w:val="00CB5FEC"/>
    <w:rsid w:val="00DE45D9"/>
    <w:rsid w:val="00E1401A"/>
    <w:rsid w:val="00E314EF"/>
    <w:rsid w:val="00ED1D1C"/>
    <w:rsid w:val="00F62EA5"/>
    <w:rsid w:val="00F6632D"/>
    <w:rsid w:val="00F86AD0"/>
    <w:rsid w:val="00FB0096"/>
    <w:rsid w:val="00FB09E3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78B"/>
    <w:pPr>
      <w:ind w:left="720"/>
      <w:contextualSpacing/>
    </w:pPr>
  </w:style>
  <w:style w:type="character" w:styleId="a6">
    <w:name w:val="Hyperlink"/>
    <w:uiPriority w:val="99"/>
    <w:semiHidden/>
    <w:unhideWhenUsed/>
    <w:rsid w:val="005E72E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5E7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4D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346"/>
  </w:style>
  <w:style w:type="paragraph" w:styleId="aa">
    <w:name w:val="footer"/>
    <w:basedOn w:val="a"/>
    <w:link w:val="ab"/>
    <w:uiPriority w:val="99"/>
    <w:unhideWhenUsed/>
    <w:rsid w:val="0090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7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78B"/>
    <w:pPr>
      <w:ind w:left="720"/>
      <w:contextualSpacing/>
    </w:pPr>
  </w:style>
  <w:style w:type="character" w:styleId="a6">
    <w:name w:val="Hyperlink"/>
    <w:uiPriority w:val="99"/>
    <w:semiHidden/>
    <w:unhideWhenUsed/>
    <w:rsid w:val="005E72E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5E7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4D1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346"/>
  </w:style>
  <w:style w:type="paragraph" w:styleId="aa">
    <w:name w:val="footer"/>
    <w:basedOn w:val="a"/>
    <w:link w:val="ab"/>
    <w:uiPriority w:val="99"/>
    <w:unhideWhenUsed/>
    <w:rsid w:val="00905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Sivkova\Desktop\&#1086;%20&#1087;&#1077;&#1088;&#1077;&#1076;&#1072;&#1095;&#1077;%20&#1087;&#1086;&#1083;&#1085;&#1086;&#1084;&#1086;&#1095;&#1080;&#1103;\&#1057;&#1086;&#1075;&#1083;&#1072;&#1096;&#1077;&#1085;&#1080;&#1077;%20&#1061;&#1072;&#1090;&#1072;&#1085;&#1075;&#1072;%20&#1058;&#1040;&#1049;&#1052;&#1067;&#1056;&#1057;&#1050;&#1048;&#1049;%20&#1044;&#1054;&#1051;&#1043;&#1040;&#1053;&#105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9B6BD64570A170D564B32B3956B28B1D605AAC161AFD5105E8E91064DA025F6C45E067A97166A1W05B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A2BBBF91C4C321071AB47CBDB79733AAE930FAB42C579370C566F254DB7715E6502ABF8361E7816BF7s1V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A2BBBF91C4C321071AB47CBDB79733AAE930FAB42A519670C566F254DB7715E6502ABF8361E7806CF5s1VF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1</cp:lastModifiedBy>
  <cp:revision>2</cp:revision>
  <cp:lastPrinted>2017-09-25T09:51:00Z</cp:lastPrinted>
  <dcterms:created xsi:type="dcterms:W3CDTF">2017-10-02T16:22:00Z</dcterms:created>
  <dcterms:modified xsi:type="dcterms:W3CDTF">2017-10-02T16:22:00Z</dcterms:modified>
</cp:coreProperties>
</file>